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4732" w14:textId="77777777"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Sveučilište u Rijeci</w:t>
      </w:r>
    </w:p>
    <w:p w14:paraId="2D0D2687" w14:textId="77777777"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Pomorski </w:t>
      </w:r>
      <w:r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akultet </w:t>
      </w:r>
    </w:p>
    <w:p w14:paraId="6C8BC8F4" w14:textId="77777777" w:rsidR="00614C12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OIB 76722145702</w:t>
      </w:r>
    </w:p>
    <w:p w14:paraId="49A93685" w14:textId="77777777"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RKP</w:t>
      </w:r>
      <w:r w:rsidR="00751E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22568</w:t>
      </w:r>
    </w:p>
    <w:p w14:paraId="7B9D6C25" w14:textId="77777777"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AD3DB" w14:textId="77777777"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E61B0" w14:textId="562651BB" w:rsidR="00397719" w:rsidRPr="001A5B94" w:rsidRDefault="00614C12" w:rsidP="003977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Obrazloženje Općeg dijela </w:t>
      </w:r>
      <w:r w:rsidR="00751E84">
        <w:rPr>
          <w:rFonts w:ascii="Times New Roman" w:eastAsia="Calibri" w:hAnsi="Times New Roman" w:cs="Times New Roman"/>
          <w:b/>
          <w:sz w:val="32"/>
          <w:szCs w:val="32"/>
        </w:rPr>
        <w:t xml:space="preserve">izvještaja o izvršenju financijskog </w:t>
      </w:r>
      <w:r w:rsidR="00397719">
        <w:rPr>
          <w:rFonts w:ascii="Times New Roman" w:eastAsia="Calibri" w:hAnsi="Times New Roman" w:cs="Times New Roman"/>
          <w:b/>
          <w:sz w:val="32"/>
          <w:szCs w:val="32"/>
        </w:rPr>
        <w:t xml:space="preserve">plana za 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0F5E11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="00397719">
        <w:rPr>
          <w:rFonts w:ascii="Times New Roman" w:eastAsia="Calibri" w:hAnsi="Times New Roman" w:cs="Times New Roman"/>
          <w:b/>
          <w:sz w:val="32"/>
          <w:szCs w:val="32"/>
        </w:rPr>
        <w:t>g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>odin</w:t>
      </w:r>
      <w:r w:rsidR="00397719">
        <w:rPr>
          <w:rFonts w:ascii="Times New Roman" w:eastAsia="Calibri" w:hAnsi="Times New Roman" w:cs="Times New Roman"/>
          <w:b/>
          <w:sz w:val="32"/>
          <w:szCs w:val="32"/>
        </w:rPr>
        <w:t>u</w:t>
      </w:r>
    </w:p>
    <w:p w14:paraId="52E64A58" w14:textId="77777777" w:rsidR="00A6013C" w:rsidRDefault="00A6013C" w:rsidP="00397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EEEA7" w14:textId="71491A02"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sz w:val="24"/>
          <w:szCs w:val="24"/>
        </w:rPr>
        <w:t>Izvještaj o izvršenju financijskog plana i financijskom poslovanju u 202</w:t>
      </w:r>
      <w:r w:rsidR="007B4B6C">
        <w:rPr>
          <w:rFonts w:ascii="Times New Roman" w:hAnsi="Times New Roman" w:cs="Times New Roman"/>
          <w:sz w:val="24"/>
          <w:szCs w:val="24"/>
        </w:rPr>
        <w:t>5</w:t>
      </w:r>
      <w:r w:rsidRPr="00843880">
        <w:rPr>
          <w:rFonts w:ascii="Times New Roman" w:hAnsi="Times New Roman" w:cs="Times New Roman"/>
          <w:sz w:val="24"/>
          <w:szCs w:val="24"/>
        </w:rPr>
        <w:t xml:space="preserve">. godini </w:t>
      </w:r>
      <w:r w:rsidR="00397719">
        <w:rPr>
          <w:rFonts w:ascii="Times New Roman" w:hAnsi="Times New Roman" w:cs="Times New Roman"/>
          <w:sz w:val="24"/>
          <w:szCs w:val="24"/>
        </w:rPr>
        <w:t>izrađen je</w:t>
      </w:r>
      <w:r w:rsidRPr="00843880">
        <w:rPr>
          <w:rFonts w:ascii="Times New Roman" w:hAnsi="Times New Roman" w:cs="Times New Roman"/>
          <w:sz w:val="24"/>
          <w:szCs w:val="24"/>
        </w:rPr>
        <w:t xml:space="preserve"> po </w:t>
      </w:r>
      <w:r>
        <w:rPr>
          <w:rFonts w:ascii="Times New Roman" w:hAnsi="Times New Roman" w:cs="Times New Roman"/>
          <w:sz w:val="24"/>
          <w:szCs w:val="24"/>
        </w:rPr>
        <w:t xml:space="preserve">modificiranom gotovinskom </w:t>
      </w:r>
      <w:r w:rsidRPr="00843880">
        <w:rPr>
          <w:rFonts w:ascii="Times New Roman" w:hAnsi="Times New Roman" w:cs="Times New Roman"/>
          <w:sz w:val="24"/>
          <w:szCs w:val="24"/>
        </w:rPr>
        <w:t xml:space="preserve">načelu, odnosno prihodi su iskazani u iznosima kojima su naplaćeni i raspoloživi, a rashodi u trenutku plaćanja, neovisno o tome na koje razdoblje se odnose. </w:t>
      </w:r>
    </w:p>
    <w:p w14:paraId="22D670F5" w14:textId="1739D589" w:rsidR="00397719" w:rsidRPr="00B83A98" w:rsidRDefault="00397719" w:rsidP="00397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98">
        <w:rPr>
          <w:rFonts w:ascii="Times New Roman" w:hAnsi="Times New Roman" w:cs="Times New Roman"/>
          <w:sz w:val="24"/>
          <w:szCs w:val="24"/>
        </w:rPr>
        <w:t>Ukupni prihodi za 202</w:t>
      </w:r>
      <w:r w:rsidR="007B4B6C">
        <w:rPr>
          <w:rFonts w:ascii="Times New Roman" w:hAnsi="Times New Roman" w:cs="Times New Roman"/>
          <w:sz w:val="24"/>
          <w:szCs w:val="24"/>
        </w:rPr>
        <w:t>5</w:t>
      </w:r>
      <w:r w:rsidRPr="00B83A98">
        <w:rPr>
          <w:rFonts w:ascii="Times New Roman" w:hAnsi="Times New Roman" w:cs="Times New Roman"/>
          <w:sz w:val="24"/>
          <w:szCs w:val="24"/>
        </w:rPr>
        <w:t xml:space="preserve">. godinu ostvareni su u iznosu od </w:t>
      </w:r>
      <w:r w:rsidR="008B756C" w:rsidRPr="008B756C">
        <w:rPr>
          <w:rFonts w:ascii="Times New Roman" w:hAnsi="Times New Roman" w:cs="Times New Roman"/>
          <w:sz w:val="24"/>
          <w:szCs w:val="24"/>
        </w:rPr>
        <w:t>8.</w:t>
      </w:r>
      <w:r w:rsidR="001C153B">
        <w:rPr>
          <w:rFonts w:ascii="Times New Roman" w:hAnsi="Times New Roman" w:cs="Times New Roman"/>
          <w:sz w:val="24"/>
          <w:szCs w:val="24"/>
        </w:rPr>
        <w:t>056.691</w:t>
      </w:r>
      <w:r w:rsidR="008B756C">
        <w:rPr>
          <w:rFonts w:ascii="Times New Roman" w:hAnsi="Times New Roman" w:cs="Times New Roman"/>
          <w:sz w:val="24"/>
          <w:szCs w:val="24"/>
        </w:rPr>
        <w:t xml:space="preserve"> </w:t>
      </w:r>
      <w:r w:rsidRPr="00B83A98">
        <w:rPr>
          <w:rFonts w:ascii="Times New Roman" w:hAnsi="Times New Roman" w:cs="Times New Roman"/>
          <w:sz w:val="24"/>
          <w:szCs w:val="24"/>
        </w:rPr>
        <w:t xml:space="preserve">EUR i </w:t>
      </w:r>
      <w:r w:rsidR="007A5F0B">
        <w:rPr>
          <w:rFonts w:ascii="Times New Roman" w:hAnsi="Times New Roman" w:cs="Times New Roman"/>
          <w:sz w:val="24"/>
          <w:szCs w:val="24"/>
        </w:rPr>
        <w:t>veći</w:t>
      </w:r>
      <w:r w:rsidRPr="00B83A98">
        <w:rPr>
          <w:rFonts w:ascii="Times New Roman" w:hAnsi="Times New Roman" w:cs="Times New Roman"/>
          <w:sz w:val="24"/>
          <w:szCs w:val="24"/>
        </w:rPr>
        <w:t xml:space="preserve"> su za </w:t>
      </w:r>
      <w:r w:rsidR="008B756C">
        <w:rPr>
          <w:rFonts w:ascii="Times New Roman" w:hAnsi="Times New Roman" w:cs="Times New Roman"/>
          <w:sz w:val="24"/>
          <w:szCs w:val="24"/>
        </w:rPr>
        <w:t>20,</w:t>
      </w:r>
      <w:r w:rsidR="001C153B">
        <w:rPr>
          <w:rFonts w:ascii="Times New Roman" w:hAnsi="Times New Roman" w:cs="Times New Roman"/>
          <w:sz w:val="24"/>
          <w:szCs w:val="24"/>
        </w:rPr>
        <w:t>34</w:t>
      </w:r>
      <w:r w:rsidRPr="00B83A98">
        <w:rPr>
          <w:rFonts w:ascii="Times New Roman" w:hAnsi="Times New Roman" w:cs="Times New Roman"/>
          <w:sz w:val="24"/>
          <w:szCs w:val="24"/>
        </w:rPr>
        <w:t>% u odnosu na ostvarenje prihoda u 202</w:t>
      </w:r>
      <w:r w:rsidR="008B756C">
        <w:rPr>
          <w:rFonts w:ascii="Times New Roman" w:hAnsi="Times New Roman" w:cs="Times New Roman"/>
          <w:sz w:val="24"/>
          <w:szCs w:val="24"/>
        </w:rPr>
        <w:t>4</w:t>
      </w:r>
      <w:r w:rsidRPr="00B83A98">
        <w:rPr>
          <w:rFonts w:ascii="Times New Roman" w:hAnsi="Times New Roman" w:cs="Times New Roman"/>
          <w:sz w:val="24"/>
          <w:szCs w:val="24"/>
        </w:rPr>
        <w:t xml:space="preserve">. godini, dok su u odnosu na </w:t>
      </w:r>
      <w:r w:rsidR="00D433A1">
        <w:rPr>
          <w:rFonts w:ascii="Times New Roman" w:hAnsi="Times New Roman" w:cs="Times New Roman"/>
          <w:sz w:val="24"/>
          <w:szCs w:val="24"/>
        </w:rPr>
        <w:t>tekući plan za 202</w:t>
      </w:r>
      <w:r w:rsidR="008B756C">
        <w:rPr>
          <w:rFonts w:ascii="Times New Roman" w:hAnsi="Times New Roman" w:cs="Times New Roman"/>
          <w:sz w:val="24"/>
          <w:szCs w:val="24"/>
        </w:rPr>
        <w:t>5</w:t>
      </w:r>
      <w:r w:rsidR="00D433A1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B83A98">
        <w:rPr>
          <w:rFonts w:ascii="Times New Roman" w:hAnsi="Times New Roman" w:cs="Times New Roman"/>
          <w:sz w:val="24"/>
          <w:szCs w:val="24"/>
        </w:rPr>
        <w:t xml:space="preserve">ostvareni u visini </w:t>
      </w:r>
      <w:r w:rsidR="008B756C">
        <w:rPr>
          <w:rFonts w:ascii="Times New Roman" w:hAnsi="Times New Roman" w:cs="Times New Roman"/>
          <w:sz w:val="24"/>
          <w:szCs w:val="24"/>
        </w:rPr>
        <w:t>98,</w:t>
      </w:r>
      <w:r w:rsidR="001C153B">
        <w:rPr>
          <w:rFonts w:ascii="Times New Roman" w:hAnsi="Times New Roman" w:cs="Times New Roman"/>
          <w:sz w:val="24"/>
          <w:szCs w:val="24"/>
        </w:rPr>
        <w:t>46</w:t>
      </w:r>
      <w:r w:rsidRPr="00B83A98">
        <w:rPr>
          <w:rFonts w:ascii="Times New Roman" w:hAnsi="Times New Roman" w:cs="Times New Roman"/>
          <w:sz w:val="24"/>
          <w:szCs w:val="24"/>
        </w:rPr>
        <w:t>%.</w:t>
      </w:r>
    </w:p>
    <w:p w14:paraId="17B83D40" w14:textId="424883E2" w:rsidR="00397719" w:rsidRPr="00B83A98" w:rsidRDefault="00397719" w:rsidP="00397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98">
        <w:rPr>
          <w:rFonts w:ascii="Times New Roman" w:hAnsi="Times New Roman" w:cs="Times New Roman"/>
          <w:sz w:val="24"/>
          <w:szCs w:val="24"/>
        </w:rPr>
        <w:t>Ukupni rashodi za 202</w:t>
      </w:r>
      <w:r w:rsidR="008B756C">
        <w:rPr>
          <w:rFonts w:ascii="Times New Roman" w:hAnsi="Times New Roman" w:cs="Times New Roman"/>
          <w:sz w:val="24"/>
          <w:szCs w:val="24"/>
        </w:rPr>
        <w:t>5</w:t>
      </w:r>
      <w:r w:rsidRPr="00B83A98">
        <w:rPr>
          <w:rFonts w:ascii="Times New Roman" w:hAnsi="Times New Roman" w:cs="Times New Roman"/>
          <w:sz w:val="24"/>
          <w:szCs w:val="24"/>
        </w:rPr>
        <w:t xml:space="preserve">. godinu izvršeni su u iznosu od </w:t>
      </w:r>
      <w:r w:rsidR="008B756C" w:rsidRPr="008B756C">
        <w:rPr>
          <w:rFonts w:ascii="Times New Roman" w:hAnsi="Times New Roman" w:cs="Times New Roman"/>
          <w:sz w:val="24"/>
          <w:szCs w:val="24"/>
        </w:rPr>
        <w:t>8.131.67</w:t>
      </w:r>
      <w:r w:rsidR="001C153B">
        <w:rPr>
          <w:rFonts w:ascii="Times New Roman" w:hAnsi="Times New Roman" w:cs="Times New Roman"/>
          <w:sz w:val="24"/>
          <w:szCs w:val="24"/>
        </w:rPr>
        <w:t>1</w:t>
      </w:r>
      <w:r w:rsidR="008B756C">
        <w:rPr>
          <w:rFonts w:ascii="Times New Roman" w:hAnsi="Times New Roman" w:cs="Times New Roman"/>
          <w:sz w:val="24"/>
          <w:szCs w:val="24"/>
        </w:rPr>
        <w:t xml:space="preserve"> </w:t>
      </w:r>
      <w:r w:rsidRPr="00B83A98">
        <w:rPr>
          <w:rFonts w:ascii="Times New Roman" w:hAnsi="Times New Roman" w:cs="Times New Roman"/>
          <w:sz w:val="24"/>
          <w:szCs w:val="24"/>
        </w:rPr>
        <w:t xml:space="preserve">EUR i </w:t>
      </w:r>
      <w:r w:rsidR="00832801">
        <w:rPr>
          <w:rFonts w:ascii="Times New Roman" w:hAnsi="Times New Roman" w:cs="Times New Roman"/>
          <w:sz w:val="24"/>
          <w:szCs w:val="24"/>
        </w:rPr>
        <w:t xml:space="preserve">veći </w:t>
      </w:r>
      <w:r w:rsidRPr="00B83A98">
        <w:rPr>
          <w:rFonts w:ascii="Times New Roman" w:hAnsi="Times New Roman" w:cs="Times New Roman"/>
          <w:sz w:val="24"/>
          <w:szCs w:val="24"/>
        </w:rPr>
        <w:t xml:space="preserve">su za </w:t>
      </w:r>
      <w:r w:rsidR="008B756C">
        <w:rPr>
          <w:rFonts w:ascii="Times New Roman" w:hAnsi="Times New Roman" w:cs="Times New Roman"/>
          <w:sz w:val="24"/>
          <w:szCs w:val="24"/>
        </w:rPr>
        <w:t>14,33</w:t>
      </w:r>
      <w:r w:rsidRPr="00B83A98">
        <w:rPr>
          <w:rFonts w:ascii="Times New Roman" w:hAnsi="Times New Roman" w:cs="Times New Roman"/>
          <w:sz w:val="24"/>
          <w:szCs w:val="24"/>
        </w:rPr>
        <w:t>%  odnosu na izvršenje rashoda u 202</w:t>
      </w:r>
      <w:r w:rsidR="008B756C">
        <w:rPr>
          <w:rFonts w:ascii="Times New Roman" w:hAnsi="Times New Roman" w:cs="Times New Roman"/>
          <w:sz w:val="24"/>
          <w:szCs w:val="24"/>
        </w:rPr>
        <w:t>4</w:t>
      </w:r>
      <w:r w:rsidRPr="00B83A98">
        <w:rPr>
          <w:rFonts w:ascii="Times New Roman" w:hAnsi="Times New Roman" w:cs="Times New Roman"/>
          <w:sz w:val="24"/>
          <w:szCs w:val="24"/>
        </w:rPr>
        <w:t xml:space="preserve">. godini, dok su u odnosu na </w:t>
      </w:r>
      <w:r w:rsidR="00D433A1">
        <w:rPr>
          <w:rFonts w:ascii="Times New Roman" w:hAnsi="Times New Roman" w:cs="Times New Roman"/>
          <w:sz w:val="24"/>
          <w:szCs w:val="24"/>
        </w:rPr>
        <w:t xml:space="preserve"> tekući plan za 202</w:t>
      </w:r>
      <w:r w:rsidR="008B756C">
        <w:rPr>
          <w:rFonts w:ascii="Times New Roman" w:hAnsi="Times New Roman" w:cs="Times New Roman"/>
          <w:sz w:val="24"/>
          <w:szCs w:val="24"/>
        </w:rPr>
        <w:t>5</w:t>
      </w:r>
      <w:r w:rsidR="00D433A1">
        <w:rPr>
          <w:rFonts w:ascii="Times New Roman" w:hAnsi="Times New Roman" w:cs="Times New Roman"/>
          <w:sz w:val="24"/>
          <w:szCs w:val="24"/>
        </w:rPr>
        <w:t>. godinu</w:t>
      </w:r>
      <w:r w:rsidRPr="00B83A98">
        <w:rPr>
          <w:rFonts w:ascii="Times New Roman" w:hAnsi="Times New Roman" w:cs="Times New Roman"/>
          <w:sz w:val="24"/>
          <w:szCs w:val="24"/>
        </w:rPr>
        <w:t xml:space="preserve"> izvršeni u visini </w:t>
      </w:r>
      <w:r w:rsidR="008B756C">
        <w:rPr>
          <w:rFonts w:ascii="Times New Roman" w:hAnsi="Times New Roman" w:cs="Times New Roman"/>
          <w:sz w:val="24"/>
          <w:szCs w:val="24"/>
        </w:rPr>
        <w:t>101,90</w:t>
      </w:r>
      <w:r w:rsidRPr="00B83A98">
        <w:rPr>
          <w:rFonts w:ascii="Times New Roman" w:hAnsi="Times New Roman" w:cs="Times New Roman"/>
          <w:sz w:val="24"/>
          <w:szCs w:val="24"/>
        </w:rPr>
        <w:t>%.</w:t>
      </w:r>
    </w:p>
    <w:p w14:paraId="1212765A" w14:textId="3852E3BF" w:rsidR="00843880" w:rsidRPr="00B83A98" w:rsidRDefault="00843880" w:rsidP="00397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98">
        <w:rPr>
          <w:rFonts w:ascii="Times New Roman" w:hAnsi="Times New Roman" w:cs="Times New Roman"/>
          <w:sz w:val="24"/>
          <w:szCs w:val="24"/>
        </w:rPr>
        <w:t>Manjak prihoda u 202</w:t>
      </w:r>
      <w:r w:rsidR="008B756C">
        <w:rPr>
          <w:rFonts w:ascii="Times New Roman" w:hAnsi="Times New Roman" w:cs="Times New Roman"/>
          <w:sz w:val="24"/>
          <w:szCs w:val="24"/>
        </w:rPr>
        <w:t>5</w:t>
      </w:r>
      <w:r w:rsidRPr="00B83A98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5F2081">
        <w:rPr>
          <w:rFonts w:ascii="Times New Roman" w:hAnsi="Times New Roman" w:cs="Times New Roman"/>
          <w:sz w:val="24"/>
          <w:szCs w:val="24"/>
        </w:rPr>
        <w:t>75.05</w:t>
      </w:r>
      <w:r w:rsidR="001C153B">
        <w:rPr>
          <w:rFonts w:ascii="Times New Roman" w:hAnsi="Times New Roman" w:cs="Times New Roman"/>
          <w:sz w:val="24"/>
          <w:szCs w:val="24"/>
        </w:rPr>
        <w:t>1</w:t>
      </w:r>
      <w:r w:rsidR="00397719" w:rsidRPr="00B83A98">
        <w:rPr>
          <w:rFonts w:ascii="Times New Roman" w:hAnsi="Times New Roman" w:cs="Times New Roman"/>
          <w:sz w:val="24"/>
          <w:szCs w:val="24"/>
        </w:rPr>
        <w:t xml:space="preserve"> EUR</w:t>
      </w:r>
      <w:r w:rsidRPr="00B83A98">
        <w:rPr>
          <w:rFonts w:ascii="Times New Roman" w:hAnsi="Times New Roman" w:cs="Times New Roman"/>
          <w:sz w:val="24"/>
          <w:szCs w:val="24"/>
        </w:rPr>
        <w:t xml:space="preserve"> </w:t>
      </w:r>
      <w:r w:rsidR="00832801">
        <w:rPr>
          <w:rFonts w:ascii="Times New Roman" w:hAnsi="Times New Roman" w:cs="Times New Roman"/>
          <w:sz w:val="24"/>
          <w:szCs w:val="24"/>
        </w:rPr>
        <w:t xml:space="preserve">i značajno je </w:t>
      </w:r>
      <w:r w:rsidR="008B756C">
        <w:rPr>
          <w:rFonts w:ascii="Times New Roman" w:hAnsi="Times New Roman" w:cs="Times New Roman"/>
          <w:sz w:val="24"/>
          <w:szCs w:val="24"/>
        </w:rPr>
        <w:t>manji</w:t>
      </w:r>
      <w:r w:rsidR="00832801">
        <w:rPr>
          <w:rFonts w:ascii="Times New Roman" w:hAnsi="Times New Roman" w:cs="Times New Roman"/>
          <w:sz w:val="24"/>
          <w:szCs w:val="24"/>
        </w:rPr>
        <w:t xml:space="preserve"> u </w:t>
      </w:r>
      <w:r w:rsidRPr="00B83A98">
        <w:rPr>
          <w:rFonts w:ascii="Times New Roman" w:hAnsi="Times New Roman" w:cs="Times New Roman"/>
          <w:sz w:val="24"/>
          <w:szCs w:val="24"/>
        </w:rPr>
        <w:t>odnosu na</w:t>
      </w:r>
      <w:r w:rsidR="00397719" w:rsidRPr="00B83A98">
        <w:rPr>
          <w:rFonts w:ascii="Times New Roman" w:hAnsi="Times New Roman" w:cs="Times New Roman"/>
          <w:sz w:val="24"/>
          <w:szCs w:val="24"/>
        </w:rPr>
        <w:t xml:space="preserve"> manjak iz</w:t>
      </w:r>
      <w:r w:rsidRPr="00B83A98">
        <w:rPr>
          <w:rFonts w:ascii="Times New Roman" w:hAnsi="Times New Roman" w:cs="Times New Roman"/>
          <w:sz w:val="24"/>
          <w:szCs w:val="24"/>
        </w:rPr>
        <w:t xml:space="preserve"> 202</w:t>
      </w:r>
      <w:r w:rsidR="008B756C">
        <w:rPr>
          <w:rFonts w:ascii="Times New Roman" w:hAnsi="Times New Roman" w:cs="Times New Roman"/>
          <w:sz w:val="24"/>
          <w:szCs w:val="24"/>
        </w:rPr>
        <w:t>4</w:t>
      </w:r>
      <w:r w:rsidRPr="00B83A98">
        <w:rPr>
          <w:rFonts w:ascii="Times New Roman" w:hAnsi="Times New Roman" w:cs="Times New Roman"/>
          <w:sz w:val="24"/>
          <w:szCs w:val="24"/>
        </w:rPr>
        <w:t>. godi</w:t>
      </w:r>
      <w:r w:rsidR="00397719" w:rsidRPr="00B83A98">
        <w:rPr>
          <w:rFonts w:ascii="Times New Roman" w:hAnsi="Times New Roman" w:cs="Times New Roman"/>
          <w:sz w:val="24"/>
          <w:szCs w:val="24"/>
        </w:rPr>
        <w:t>ne</w:t>
      </w:r>
      <w:r w:rsidR="00832801">
        <w:rPr>
          <w:rFonts w:ascii="Times New Roman" w:hAnsi="Times New Roman" w:cs="Times New Roman"/>
          <w:sz w:val="24"/>
          <w:szCs w:val="24"/>
        </w:rPr>
        <w:t xml:space="preserve"> koji je iznosio </w:t>
      </w:r>
      <w:r w:rsidR="008B756C">
        <w:rPr>
          <w:rFonts w:ascii="Times New Roman" w:hAnsi="Times New Roman" w:cs="Times New Roman"/>
          <w:sz w:val="24"/>
          <w:szCs w:val="24"/>
        </w:rPr>
        <w:t>417.649</w:t>
      </w:r>
      <w:r w:rsidR="00832801">
        <w:rPr>
          <w:rFonts w:ascii="Times New Roman" w:hAnsi="Times New Roman" w:cs="Times New Roman"/>
          <w:sz w:val="24"/>
          <w:szCs w:val="24"/>
        </w:rPr>
        <w:t xml:space="preserve"> EUR </w:t>
      </w:r>
      <w:r w:rsidRPr="00B83A98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 w:rsidRPr="00B83A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83616" w14:textId="77777777" w:rsidR="00397719" w:rsidRPr="00AE2812" w:rsidRDefault="00397719" w:rsidP="00397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</w:t>
      </w:r>
      <w:r>
        <w:rPr>
          <w:rFonts w:ascii="Times New Roman" w:hAnsi="Times New Roman" w:cs="Times New Roman"/>
          <w:b/>
          <w:sz w:val="24"/>
          <w:szCs w:val="24"/>
        </w:rPr>
        <w:t xml:space="preserve"> RASHODI</w:t>
      </w:r>
    </w:p>
    <w:p w14:paraId="28AFC555" w14:textId="77777777"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>Tablica 1. Pregled prihoda i rashoda po izvorima financiranja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820"/>
        <w:gridCol w:w="1559"/>
        <w:gridCol w:w="1417"/>
        <w:gridCol w:w="1276"/>
      </w:tblGrid>
      <w:tr w:rsidR="00843880" w:rsidRPr="00843880" w14:paraId="61F13116" w14:textId="77777777" w:rsidTr="00843880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A321176" w14:textId="77777777" w:rsidR="00843880" w:rsidRPr="00885BCD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FINANCIRANJA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DD4D5EC" w14:textId="77777777" w:rsidR="00843880" w:rsidRPr="00885BCD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191FBAE5" w14:textId="77777777" w:rsidR="00843880" w:rsidRPr="00885BCD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715195EA" w14:textId="77777777" w:rsidR="00843880" w:rsidRPr="00885BCD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RAZLIKA</w:t>
            </w:r>
          </w:p>
        </w:tc>
      </w:tr>
      <w:tr w:rsidR="00843880" w:rsidRPr="00843880" w14:paraId="1FCA012F" w14:textId="77777777" w:rsidTr="00843880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4F53A" w14:textId="478C2EFF"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Opći prihodi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(Državni proračun za plaće i materijalne troškove, programski ugovori)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0A2E9" w14:textId="1883D72D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4.832.050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6B3C3" w14:textId="2C076608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4.824.319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B27FE" w14:textId="7E15B154" w:rsidR="00843880" w:rsidRPr="001C153B" w:rsidRDefault="00C5751C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1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7.731</w:t>
            </w:r>
          </w:p>
        </w:tc>
      </w:tr>
      <w:tr w:rsidR="00843880" w:rsidRPr="00843880" w14:paraId="416DFF19" w14:textId="77777777" w:rsidTr="0084388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7FEFE" w14:textId="77777777"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Vlastiti prihodi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(svi vlastiti prihodi ostvareni na tržištu)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E2E3E" w14:textId="2496DF18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633.407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0BD70" w14:textId="2F151FED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682.983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06561" w14:textId="63858904" w:rsidR="00843880" w:rsidRPr="001C153B" w:rsidRDefault="00C5751C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1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-49.576</w:t>
            </w:r>
          </w:p>
        </w:tc>
      </w:tr>
      <w:tr w:rsidR="00843880" w:rsidRPr="00843880" w14:paraId="50C20DCB" w14:textId="77777777" w:rsidTr="00843880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03926" w14:textId="77777777"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Prihodi za posebne namjene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309A1">
              <w:rPr>
                <w:rFonts w:ascii="Times New Roman" w:hAnsi="Times New Roman" w:cs="Times New Roman"/>
                <w:sz w:val="20"/>
                <w:szCs w:val="20"/>
              </w:rPr>
              <w:t xml:space="preserve">PPO, 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školarine i s njima povezani prihodi)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D4331" w14:textId="0DD39F04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843.294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78736" w14:textId="43F7BDCB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910.815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B2FB6" w14:textId="2B6E40C9" w:rsidR="00843880" w:rsidRPr="001C153B" w:rsidRDefault="00C5751C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1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-67.521</w:t>
            </w:r>
          </w:p>
        </w:tc>
      </w:tr>
      <w:tr w:rsidR="00843880" w:rsidRPr="00843880" w14:paraId="44799A7A" w14:textId="77777777" w:rsidTr="0084388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7F2D3" w14:textId="77777777"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Pomoći iz EU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(svi EU projekti Erasmus, Interreg i Horizon)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B5D79" w14:textId="219C3DF8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1.219.702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DB61C" w14:textId="6501DE32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1.203.03</w:t>
            </w:r>
            <w:r w:rsidR="001C153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03120" w14:textId="4B8C1811" w:rsidR="00843880" w:rsidRPr="001C153B" w:rsidRDefault="00C5751C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1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16.6</w:t>
            </w:r>
            <w:r w:rsidR="001C153B" w:rsidRPr="001C1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</w:t>
            </w:r>
          </w:p>
        </w:tc>
      </w:tr>
      <w:tr w:rsidR="00843880" w:rsidRPr="00843880" w14:paraId="7B0BE135" w14:textId="77777777" w:rsidTr="00843880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80BD9" w14:textId="42013610"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Ostale pomoći i darovnice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(Sredstva Sveučilišta za razne projekte, IAMU, </w:t>
            </w:r>
            <w:r w:rsidR="00B83A98" w:rsidRPr="00536E9A">
              <w:rPr>
                <w:rFonts w:ascii="Times New Roman" w:hAnsi="Times New Roman" w:cs="Times New Roman"/>
                <w:sz w:val="20"/>
                <w:szCs w:val="20"/>
              </w:rPr>
              <w:t>FER za projekt MASK</w:t>
            </w:r>
            <w:r w:rsidR="00160E91">
              <w:rPr>
                <w:rFonts w:ascii="Times New Roman" w:hAnsi="Times New Roman" w:cs="Times New Roman"/>
                <w:sz w:val="20"/>
                <w:szCs w:val="20"/>
              </w:rPr>
              <w:t>, MZOM za simulator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, refundacije HRZZ projekta)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B28ED" w14:textId="5D9CFD0F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347.781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DBC33" w14:textId="32562A46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323.631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9E1E4" w14:textId="0DC1F8E3" w:rsidR="00843880" w:rsidRPr="001C153B" w:rsidRDefault="00C5751C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1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24.150</w:t>
            </w:r>
          </w:p>
        </w:tc>
      </w:tr>
      <w:tr w:rsidR="00843880" w:rsidRPr="00885BCD" w14:paraId="100D5302" w14:textId="77777777" w:rsidTr="00843880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E9A37" w14:textId="77777777" w:rsidR="00843880" w:rsidRPr="00885BCD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Pomoći iz </w:t>
            </w:r>
            <w:r w:rsidR="007C5155">
              <w:rPr>
                <w:rFonts w:ascii="Times New Roman" w:hAnsi="Times New Roman" w:cs="Times New Roman"/>
                <w:b/>
                <w:sz w:val="20"/>
                <w:szCs w:val="20"/>
              </w:rPr>
              <w:t>Mehanizma za oporavak i otpornost (NPOO projekt</w:t>
            </w:r>
            <w:r w:rsidR="001A643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7C51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EE2DB" w14:textId="53A3E634" w:rsidR="00843880" w:rsidRPr="00885BCD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85.927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1D236" w14:textId="79D78F7A" w:rsidR="00843880" w:rsidRPr="00885BCD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49.078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A35C3" w14:textId="4B5AF8E8" w:rsidR="00843880" w:rsidRPr="001C153B" w:rsidRDefault="00C5751C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1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36.849</w:t>
            </w:r>
          </w:p>
        </w:tc>
      </w:tr>
      <w:tr w:rsidR="00843880" w:rsidRPr="00843880" w14:paraId="05D1DAF0" w14:textId="77777777" w:rsidTr="00843880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62D0B" w14:textId="66C9DAE1"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Donacije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(donacije trgovačkih društava </w:t>
            </w:r>
            <w:r w:rsidR="00160E91">
              <w:rPr>
                <w:rFonts w:ascii="Times New Roman" w:hAnsi="Times New Roman" w:cs="Times New Roman"/>
                <w:sz w:val="20"/>
                <w:szCs w:val="20"/>
              </w:rPr>
              <w:t>za EU projekte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AFD7A" w14:textId="0D178E8E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93.072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AFC2D" w14:textId="45F22C70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137.812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90F6E" w14:textId="6F230A46" w:rsidR="00843880" w:rsidRPr="001C153B" w:rsidRDefault="00C5751C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1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-44.740</w:t>
            </w:r>
          </w:p>
        </w:tc>
      </w:tr>
      <w:tr w:rsidR="00843880" w:rsidRPr="00843880" w14:paraId="4FAB7D85" w14:textId="77777777" w:rsidTr="00843880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8D2EC" w14:textId="07794F69"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Prihodi od prodaje nefinancijske imovine </w:t>
            </w: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(prihodi od prodaje stanova</w:t>
            </w:r>
            <w:r w:rsidR="00160E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naknada štete od osiguranja</w:t>
            </w: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0883E" w14:textId="00B8AB31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91">
              <w:rPr>
                <w:rFonts w:ascii="Times New Roman" w:hAnsi="Times New Roman" w:cs="Times New Roman"/>
                <w:bCs/>
                <w:sz w:val="20"/>
                <w:szCs w:val="20"/>
              </w:rPr>
              <w:t>1.383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78A91" w14:textId="769F9947" w:rsidR="00843880" w:rsidRPr="00536E9A" w:rsidRDefault="00160E9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BA090" w14:textId="733A84CC" w:rsidR="00843880" w:rsidRPr="001C153B" w:rsidRDefault="00C5751C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1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1.383</w:t>
            </w:r>
          </w:p>
        </w:tc>
      </w:tr>
      <w:tr w:rsidR="00843880" w:rsidRPr="00843880" w14:paraId="503FB1A0" w14:textId="77777777" w:rsidTr="0084388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00FB2805" w14:textId="77777777"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E3AECFB" w14:textId="1DC555CF" w:rsidR="00843880" w:rsidRPr="00536E9A" w:rsidRDefault="00160E91" w:rsidP="00EA52F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8.056.620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5A2369E" w14:textId="53150ABD" w:rsidR="00843880" w:rsidRPr="00536E9A" w:rsidRDefault="00160E91" w:rsidP="00EA52F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8.131.674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16441B" w14:textId="103E8759" w:rsidR="00843880" w:rsidRPr="001C153B" w:rsidRDefault="00C5751C" w:rsidP="00EA52F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C15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-75.055</w:t>
            </w:r>
          </w:p>
        </w:tc>
      </w:tr>
    </w:tbl>
    <w:p w14:paraId="368E1DAB" w14:textId="77777777"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sz w:val="24"/>
          <w:szCs w:val="24"/>
        </w:rPr>
        <w:lastRenderedPageBreak/>
        <w:t>Ukupan manjak prihoda, odnosno manjak prihoda po</w:t>
      </w:r>
      <w:r w:rsidR="00304433">
        <w:rPr>
          <w:rFonts w:ascii="Times New Roman" w:hAnsi="Times New Roman" w:cs="Times New Roman"/>
          <w:sz w:val="24"/>
          <w:szCs w:val="24"/>
        </w:rPr>
        <w:t xml:space="preserve"> izvorima financiranja</w:t>
      </w:r>
      <w:r w:rsidRPr="00843880">
        <w:rPr>
          <w:rFonts w:ascii="Times New Roman" w:hAnsi="Times New Roman" w:cs="Times New Roman"/>
          <w:sz w:val="24"/>
          <w:szCs w:val="24"/>
        </w:rPr>
        <w:t xml:space="preserve">, 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pokriven je iz </w:t>
      </w:r>
      <w:r w:rsidR="00885BCD">
        <w:rPr>
          <w:rFonts w:ascii="Times New Roman" w:hAnsi="Times New Roman" w:cs="Times New Roman"/>
          <w:b/>
          <w:sz w:val="24"/>
          <w:szCs w:val="24"/>
        </w:rPr>
        <w:t xml:space="preserve">donosa </w:t>
      </w:r>
      <w:r w:rsidR="007B6E37">
        <w:rPr>
          <w:rFonts w:ascii="Times New Roman" w:hAnsi="Times New Roman" w:cs="Times New Roman"/>
          <w:b/>
          <w:sz w:val="24"/>
          <w:szCs w:val="24"/>
        </w:rPr>
        <w:t>sredstava</w:t>
      </w:r>
      <w:r w:rsidR="00885BCD">
        <w:rPr>
          <w:rFonts w:ascii="Times New Roman" w:hAnsi="Times New Roman" w:cs="Times New Roman"/>
          <w:b/>
          <w:sz w:val="24"/>
          <w:szCs w:val="24"/>
        </w:rPr>
        <w:t>.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14FB19" w14:textId="6AFB32F1" w:rsid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sz w:val="24"/>
          <w:szCs w:val="24"/>
        </w:rPr>
        <w:t>Detaljan pregled</w:t>
      </w:r>
      <w:r w:rsidR="00B83A98"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 xml:space="preserve">izvršenja rashoda po izvorima financiranja, programima i aktivnostima iskazan je u </w:t>
      </w:r>
      <w:r w:rsidR="007A75B3" w:rsidRPr="007A75B3">
        <w:rPr>
          <w:rFonts w:ascii="Times New Roman" w:hAnsi="Times New Roman" w:cs="Times New Roman"/>
          <w:b/>
          <w:sz w:val="24"/>
          <w:szCs w:val="24"/>
        </w:rPr>
        <w:t>Posebnom dijelu</w:t>
      </w:r>
      <w:r w:rsidR="007A75B3">
        <w:rPr>
          <w:rFonts w:ascii="Times New Roman" w:hAnsi="Times New Roman" w:cs="Times New Roman"/>
          <w:sz w:val="24"/>
          <w:szCs w:val="24"/>
        </w:rPr>
        <w:t xml:space="preserve"> i</w:t>
      </w:r>
      <w:r w:rsidRPr="00843880">
        <w:rPr>
          <w:rFonts w:ascii="Times New Roman" w:hAnsi="Times New Roman" w:cs="Times New Roman"/>
          <w:b/>
          <w:sz w:val="24"/>
          <w:szCs w:val="24"/>
        </w:rPr>
        <w:t>zvještaj</w:t>
      </w:r>
      <w:r w:rsidR="007A75B3">
        <w:rPr>
          <w:rFonts w:ascii="Times New Roman" w:hAnsi="Times New Roman" w:cs="Times New Roman"/>
          <w:b/>
          <w:sz w:val="24"/>
          <w:szCs w:val="24"/>
        </w:rPr>
        <w:t>a</w:t>
      </w:r>
      <w:r w:rsidR="008B756C">
        <w:rPr>
          <w:rFonts w:ascii="Times New Roman" w:hAnsi="Times New Roman" w:cs="Times New Roman"/>
          <w:b/>
          <w:sz w:val="24"/>
          <w:szCs w:val="24"/>
        </w:rPr>
        <w:t xml:space="preserve"> o izvršenju financijskog plana za 2025.g</w:t>
      </w:r>
      <w:r w:rsidR="007A75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F1969F" w14:textId="77777777" w:rsidR="007A75B3" w:rsidRPr="00843880" w:rsidRDefault="007A75B3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C0F81" w14:textId="77777777" w:rsidR="00843880" w:rsidRPr="00843880" w:rsidRDefault="00843880" w:rsidP="0084388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>PRIHODI</w:t>
      </w:r>
    </w:p>
    <w:p w14:paraId="785B951C" w14:textId="78246468" w:rsidR="00EA52FD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sz w:val="24"/>
          <w:szCs w:val="24"/>
        </w:rPr>
        <w:t xml:space="preserve">U ukupno ostvarenim prihodima najznačajniji udio imaju </w:t>
      </w:r>
      <w:r w:rsidRPr="00843880">
        <w:rPr>
          <w:rFonts w:ascii="Times New Roman" w:hAnsi="Times New Roman" w:cs="Times New Roman"/>
          <w:b/>
          <w:sz w:val="24"/>
          <w:szCs w:val="24"/>
        </w:rPr>
        <w:t>Prihodi iz nadležnog proračuna za financiranje rashoda poslovanja</w:t>
      </w:r>
      <w:r w:rsidRPr="00843880">
        <w:rPr>
          <w:rFonts w:ascii="Times New Roman" w:hAnsi="Times New Roman" w:cs="Times New Roman"/>
          <w:sz w:val="24"/>
          <w:szCs w:val="24"/>
        </w:rPr>
        <w:t xml:space="preserve"> iz </w:t>
      </w:r>
      <w:r w:rsidRPr="00843880">
        <w:rPr>
          <w:rFonts w:ascii="Times New Roman" w:hAnsi="Times New Roman" w:cs="Times New Roman"/>
          <w:b/>
          <w:sz w:val="24"/>
          <w:szCs w:val="24"/>
        </w:rPr>
        <w:t>općeg izvora (OPĆI PRIHODI)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u iznosu </w:t>
      </w:r>
      <w:r w:rsidR="00B83A9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EA52FD">
        <w:rPr>
          <w:rFonts w:ascii="Times New Roman" w:hAnsi="Times New Roman" w:cs="Times New Roman"/>
          <w:b/>
          <w:sz w:val="24"/>
          <w:szCs w:val="24"/>
        </w:rPr>
        <w:t>4.</w:t>
      </w:r>
      <w:r w:rsidR="00B0258C">
        <w:rPr>
          <w:rFonts w:ascii="Times New Roman" w:hAnsi="Times New Roman" w:cs="Times New Roman"/>
          <w:b/>
          <w:sz w:val="24"/>
          <w:szCs w:val="24"/>
        </w:rPr>
        <w:t>832.050</w:t>
      </w:r>
      <w:r w:rsidR="007A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A98">
        <w:rPr>
          <w:rFonts w:ascii="Times New Roman" w:hAnsi="Times New Roman" w:cs="Times New Roman"/>
          <w:b/>
          <w:sz w:val="24"/>
          <w:szCs w:val="24"/>
        </w:rPr>
        <w:t>EUR i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odnose se na sredstva za financiranje rashoda za zaposlene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b/>
          <w:sz w:val="24"/>
          <w:szCs w:val="24"/>
        </w:rPr>
        <w:t>i materijalnih troškova</w:t>
      </w:r>
      <w:r w:rsidRPr="0084388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653BE" w:rsidRPr="008653BE">
        <w:rPr>
          <w:rFonts w:ascii="Times New Roman" w:hAnsi="Times New Roman" w:cs="Times New Roman"/>
          <w:sz w:val="24"/>
          <w:szCs w:val="24"/>
        </w:rPr>
        <w:t>4.472.674</w:t>
      </w:r>
      <w:r w:rsidR="008653BE">
        <w:rPr>
          <w:rFonts w:ascii="Times New Roman" w:hAnsi="Times New Roman" w:cs="Times New Roman"/>
          <w:sz w:val="24"/>
          <w:szCs w:val="24"/>
        </w:rPr>
        <w:t xml:space="preserve"> </w:t>
      </w:r>
      <w:r w:rsidR="007A75B3">
        <w:rPr>
          <w:rFonts w:ascii="Times New Roman" w:hAnsi="Times New Roman" w:cs="Times New Roman"/>
          <w:sz w:val="24"/>
          <w:szCs w:val="24"/>
        </w:rPr>
        <w:t xml:space="preserve">EUR </w:t>
      </w:r>
      <w:r w:rsidRPr="00843880">
        <w:rPr>
          <w:rFonts w:ascii="Times New Roman" w:hAnsi="Times New Roman" w:cs="Times New Roman"/>
          <w:sz w:val="24"/>
          <w:szCs w:val="24"/>
        </w:rPr>
        <w:t>i sredstva programskih ugovora u iznosu od</w:t>
      </w:r>
      <w:r w:rsidR="00C5751C">
        <w:rPr>
          <w:rFonts w:ascii="Times New Roman" w:hAnsi="Times New Roman" w:cs="Times New Roman"/>
          <w:sz w:val="24"/>
          <w:szCs w:val="24"/>
        </w:rPr>
        <w:t xml:space="preserve"> 350.241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="007A75B3">
        <w:rPr>
          <w:rFonts w:ascii="Times New Roman" w:hAnsi="Times New Roman" w:cs="Times New Roman"/>
          <w:sz w:val="24"/>
          <w:szCs w:val="24"/>
        </w:rPr>
        <w:t>EUR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="007A75B3">
        <w:rPr>
          <w:rFonts w:ascii="Times New Roman" w:hAnsi="Times New Roman" w:cs="Times New Roman"/>
          <w:sz w:val="24"/>
          <w:szCs w:val="24"/>
        </w:rPr>
        <w:t xml:space="preserve">koja su </w:t>
      </w:r>
      <w:r w:rsidR="00B0258C">
        <w:rPr>
          <w:rFonts w:ascii="Times New Roman" w:hAnsi="Times New Roman" w:cs="Times New Roman"/>
          <w:sz w:val="24"/>
          <w:szCs w:val="24"/>
        </w:rPr>
        <w:t>veća</w:t>
      </w:r>
      <w:r w:rsidR="007A75B3">
        <w:rPr>
          <w:rFonts w:ascii="Times New Roman" w:hAnsi="Times New Roman" w:cs="Times New Roman"/>
          <w:sz w:val="24"/>
          <w:szCs w:val="24"/>
        </w:rPr>
        <w:t xml:space="preserve"> u odnosu</w:t>
      </w:r>
      <w:r w:rsidRPr="00843880">
        <w:rPr>
          <w:rFonts w:ascii="Times New Roman" w:hAnsi="Times New Roman" w:cs="Times New Roman"/>
          <w:sz w:val="24"/>
          <w:szCs w:val="24"/>
        </w:rPr>
        <w:t xml:space="preserve"> na prošlogodišnji iznos </w:t>
      </w:r>
      <w:r w:rsidR="007A75B3">
        <w:rPr>
          <w:rFonts w:ascii="Times New Roman" w:hAnsi="Times New Roman" w:cs="Times New Roman"/>
          <w:sz w:val="24"/>
          <w:szCs w:val="24"/>
        </w:rPr>
        <w:t xml:space="preserve">od </w:t>
      </w:r>
      <w:r w:rsidR="008C2166">
        <w:rPr>
          <w:rFonts w:ascii="Times New Roman" w:hAnsi="Times New Roman" w:cs="Times New Roman"/>
          <w:sz w:val="24"/>
          <w:szCs w:val="24"/>
        </w:rPr>
        <w:t>339.657</w:t>
      </w:r>
      <w:r w:rsidR="007A75B3">
        <w:rPr>
          <w:rFonts w:ascii="Times New Roman" w:hAnsi="Times New Roman" w:cs="Times New Roman"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="00C5751C">
        <w:rPr>
          <w:rFonts w:ascii="Times New Roman" w:hAnsi="Times New Roman" w:cs="Times New Roman"/>
          <w:sz w:val="24"/>
          <w:szCs w:val="24"/>
        </w:rPr>
        <w:t>jer smo od Sveučilišta</w:t>
      </w:r>
      <w:r w:rsidR="001C153B">
        <w:rPr>
          <w:rFonts w:ascii="Times New Roman" w:hAnsi="Times New Roman" w:cs="Times New Roman"/>
          <w:sz w:val="24"/>
          <w:szCs w:val="24"/>
        </w:rPr>
        <w:t xml:space="preserve"> u Rijeci</w:t>
      </w:r>
      <w:r w:rsidR="00C5751C">
        <w:rPr>
          <w:rFonts w:ascii="Times New Roman" w:hAnsi="Times New Roman" w:cs="Times New Roman"/>
          <w:sz w:val="24"/>
          <w:szCs w:val="24"/>
        </w:rPr>
        <w:t xml:space="preserve"> primili i dio razvojne i izvedbene komponente</w:t>
      </w:r>
      <w:r w:rsidR="001C153B">
        <w:rPr>
          <w:rFonts w:ascii="Times New Roman" w:hAnsi="Times New Roman" w:cs="Times New Roman"/>
          <w:sz w:val="24"/>
          <w:szCs w:val="24"/>
        </w:rPr>
        <w:t xml:space="preserve"> programskih ugovora</w:t>
      </w:r>
      <w:r w:rsidR="00C5751C">
        <w:rPr>
          <w:rFonts w:ascii="Times New Roman" w:hAnsi="Times New Roman" w:cs="Times New Roman"/>
          <w:sz w:val="24"/>
          <w:szCs w:val="24"/>
        </w:rPr>
        <w:t xml:space="preserve"> za početak ak.g. 2025./2026</w:t>
      </w:r>
      <w:r w:rsidR="007A75B3">
        <w:rPr>
          <w:rFonts w:ascii="Times New Roman" w:hAnsi="Times New Roman" w:cs="Times New Roman"/>
          <w:sz w:val="24"/>
          <w:szCs w:val="24"/>
        </w:rPr>
        <w:t>.</w:t>
      </w:r>
    </w:p>
    <w:p w14:paraId="6C745DC9" w14:textId="00C154C8"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>VLASTITI</w:t>
      </w: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PRIHODI</w:t>
      </w:r>
      <w:r w:rsidRPr="0084388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 xml:space="preserve"> ostvareni</w:t>
      </w:r>
      <w:r w:rsidRPr="0084388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 xml:space="preserve">su u iznosu od </w:t>
      </w:r>
      <w:r w:rsidR="00B0258C">
        <w:rPr>
          <w:rFonts w:ascii="Times New Roman" w:hAnsi="Times New Roman" w:cs="Times New Roman"/>
          <w:sz w:val="24"/>
          <w:szCs w:val="24"/>
        </w:rPr>
        <w:t>633.40</w:t>
      </w:r>
      <w:r w:rsidR="001C153B">
        <w:rPr>
          <w:rFonts w:ascii="Times New Roman" w:hAnsi="Times New Roman" w:cs="Times New Roman"/>
          <w:sz w:val="24"/>
          <w:szCs w:val="24"/>
        </w:rPr>
        <w:t>8</w:t>
      </w:r>
      <w:r w:rsidR="007A75B3">
        <w:rPr>
          <w:rFonts w:ascii="Times New Roman" w:hAnsi="Times New Roman" w:cs="Times New Roman"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sz w:val="24"/>
          <w:szCs w:val="24"/>
        </w:rPr>
        <w:t xml:space="preserve"> i </w:t>
      </w:r>
      <w:r w:rsidR="00C5751C">
        <w:rPr>
          <w:rFonts w:ascii="Times New Roman" w:hAnsi="Times New Roman" w:cs="Times New Roman"/>
          <w:sz w:val="24"/>
          <w:szCs w:val="24"/>
        </w:rPr>
        <w:t>veći</w:t>
      </w:r>
      <w:r w:rsidR="007A75B3"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>su u odnosu na prethodno razdoblj</w:t>
      </w:r>
      <w:r w:rsidR="00F854CD">
        <w:rPr>
          <w:rFonts w:ascii="Times New Roman" w:hAnsi="Times New Roman" w:cs="Times New Roman"/>
          <w:sz w:val="24"/>
          <w:szCs w:val="24"/>
        </w:rPr>
        <w:t>e</w:t>
      </w:r>
      <w:r w:rsidR="00A50006">
        <w:rPr>
          <w:rFonts w:ascii="Times New Roman" w:hAnsi="Times New Roman" w:cs="Times New Roman"/>
          <w:sz w:val="24"/>
          <w:szCs w:val="24"/>
        </w:rPr>
        <w:t>.</w:t>
      </w:r>
      <w:r w:rsidRPr="00843880">
        <w:rPr>
          <w:rFonts w:ascii="Times New Roman" w:hAnsi="Times New Roman" w:cs="Times New Roman"/>
          <w:sz w:val="24"/>
          <w:szCs w:val="24"/>
        </w:rPr>
        <w:t xml:space="preserve"> Pregled ostvarenja najznačajnijih vlastitih prihoda u petogodišnjem razdoblju izgleda kako slijedi:</w:t>
      </w:r>
    </w:p>
    <w:p w14:paraId="473EE9B8" w14:textId="76FFEFDF"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>Tablica 1.</w:t>
      </w:r>
      <w:r w:rsidR="007A75B3">
        <w:rPr>
          <w:rFonts w:ascii="Times New Roman" w:hAnsi="Times New Roman" w:cs="Times New Roman"/>
          <w:b/>
          <w:sz w:val="24"/>
          <w:szCs w:val="24"/>
        </w:rPr>
        <w:t>1</w:t>
      </w: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 xml:space="preserve">. </w:t>
      </w:r>
      <w:r w:rsidRPr="00843880">
        <w:rPr>
          <w:rFonts w:ascii="Times New Roman" w:hAnsi="Times New Roman" w:cs="Times New Roman"/>
          <w:b/>
          <w:sz w:val="24"/>
          <w:szCs w:val="24"/>
        </w:rPr>
        <w:t>Struktura vlastitih prihoda</w:t>
      </w:r>
      <w:r w:rsidR="0083280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0258C">
        <w:rPr>
          <w:rFonts w:ascii="Times New Roman" w:hAnsi="Times New Roman" w:cs="Times New Roman"/>
          <w:b/>
          <w:sz w:val="24"/>
          <w:szCs w:val="24"/>
        </w:rPr>
        <w:t>1</w:t>
      </w:r>
      <w:r w:rsidR="00832801">
        <w:rPr>
          <w:rFonts w:ascii="Times New Roman" w:hAnsi="Times New Roman" w:cs="Times New Roman"/>
          <w:b/>
          <w:sz w:val="24"/>
          <w:szCs w:val="24"/>
        </w:rPr>
        <w:t>.-202</w:t>
      </w:r>
      <w:r w:rsidR="00B0258C">
        <w:rPr>
          <w:rFonts w:ascii="Times New Roman" w:hAnsi="Times New Roman" w:cs="Times New Roman"/>
          <w:b/>
          <w:sz w:val="24"/>
          <w:szCs w:val="24"/>
        </w:rPr>
        <w:t>5</w:t>
      </w:r>
      <w:r w:rsidR="0083280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36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6"/>
        <w:gridCol w:w="1276"/>
        <w:gridCol w:w="1276"/>
        <w:gridCol w:w="1201"/>
        <w:gridCol w:w="1350"/>
      </w:tblGrid>
      <w:tr w:rsidR="00B0258C" w:rsidRPr="00843880" w14:paraId="319113B3" w14:textId="77777777" w:rsidTr="008438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9921DE" w14:textId="77777777" w:rsidR="00B0258C" w:rsidRPr="00536E9A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27364385"/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B51C50" w14:textId="3703B624" w:rsidR="00B0258C" w:rsidRPr="00536E9A" w:rsidRDefault="00B0258C" w:rsidP="00B02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30BFAA9" w14:textId="60C7E3F8" w:rsidR="00B0258C" w:rsidRPr="00536E9A" w:rsidRDefault="00B0258C" w:rsidP="00B02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D9BF7D1" w14:textId="59FBFEF4" w:rsidR="00B0258C" w:rsidRPr="00536E9A" w:rsidRDefault="00B0258C" w:rsidP="00B02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7EDF47" w14:textId="08260E38" w:rsidR="00B0258C" w:rsidRPr="00536E9A" w:rsidRDefault="00B0258C" w:rsidP="00B02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5484BCF" w14:textId="5661F726" w:rsidR="00B0258C" w:rsidRPr="00536E9A" w:rsidRDefault="00B0258C" w:rsidP="00B02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0258C" w:rsidRPr="00843880" w14:paraId="5BA982D6" w14:textId="77777777" w:rsidTr="00D81097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D8927" w14:textId="77777777" w:rsidR="00B0258C" w:rsidRPr="00536E9A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Skriptarnica i web shop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736FD1" w14:textId="36FC1F96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2.050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9565D1" w14:textId="2113F988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FC1F1" w14:textId="62856889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00B2D" w14:textId="5B9A0296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1.378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981E9" w14:textId="1FA39C10" w:rsidR="00B0258C" w:rsidRPr="00536E9A" w:rsidRDefault="00A50006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B0258C" w:rsidRPr="00843880" w14:paraId="65A46B07" w14:textId="77777777" w:rsidTr="00A91BC6">
        <w:trPr>
          <w:trHeight w:val="176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D389E" w14:textId="77777777" w:rsidR="00B0258C" w:rsidRPr="00536E9A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Prihodi od usluga Centra za izobrazbu pomoraca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1B5F4" w14:textId="3E620D6F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203.050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E2017" w14:textId="648497EC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196.871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1F304" w14:textId="1FBC1CAB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236.012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4A011" w14:textId="583B7CB1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247.398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D8E30" w14:textId="2FCF631B" w:rsidR="00B0258C" w:rsidRPr="00536E9A" w:rsidRDefault="008653BE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251.712</w:t>
            </w:r>
          </w:p>
        </w:tc>
      </w:tr>
      <w:tr w:rsidR="00B0258C" w:rsidRPr="00843880" w14:paraId="3F021C46" w14:textId="77777777" w:rsidTr="00A91BC6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AD018" w14:textId="77777777" w:rsidR="00B0258C" w:rsidRPr="00536E9A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Prihodi od Posebnog programa obrazovanja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E1FC9" w14:textId="7D2B7A4C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153.295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0742" w14:textId="789B368C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118.867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15362" w14:textId="12CF7EDF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201.522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8995D" w14:textId="4D243FF9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0588F" w14:textId="38868042" w:rsidR="00B0258C" w:rsidRPr="00536E9A" w:rsidRDefault="00A50006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258C" w:rsidRPr="00843880" w14:paraId="7AC89D09" w14:textId="77777777" w:rsidTr="00A91BC6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3775B" w14:textId="77777777" w:rsidR="00B0258C" w:rsidRPr="00536E9A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Prihodi od stručnih projekata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6B44D" w14:textId="02B72008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371.965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FCA6F" w14:textId="34D68237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373.688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5E3B6" w14:textId="6A24884A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412.436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D795B" w14:textId="49C4E988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323.091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599C2" w14:textId="5EDFDB24" w:rsidR="00B0258C" w:rsidRPr="00536E9A" w:rsidRDefault="00913BA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340.794</w:t>
            </w:r>
          </w:p>
        </w:tc>
      </w:tr>
      <w:tr w:rsidR="00B0258C" w:rsidRPr="00843880" w14:paraId="71138CF7" w14:textId="77777777" w:rsidTr="00D81097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D623E" w14:textId="77777777" w:rsidR="00B0258C" w:rsidRPr="00536E9A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Prihodi od sponzorstva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EEEE05" w14:textId="223FDDB3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2DF549" w14:textId="4731110E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18.569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79F3B" w14:textId="77B72095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144644" w14:textId="463C9925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88282" w14:textId="2FAB95DD" w:rsidR="00B0258C" w:rsidRPr="00536E9A" w:rsidRDefault="00A50006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B0258C" w:rsidRPr="00843880" w14:paraId="4646C4C4" w14:textId="77777777" w:rsidTr="00D81097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D479" w14:textId="77777777" w:rsidR="00B0258C" w:rsidRPr="00536E9A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Ostali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AD970" w14:textId="1DCC0C31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140.666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0448FF" w14:textId="6A381345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15.518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713806" w14:textId="62B7ACAB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8.899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7F32C5" w14:textId="1FE05E32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B7B52" w14:textId="6A3B0DAF" w:rsidR="00B0258C" w:rsidRPr="00536E9A" w:rsidRDefault="008653BE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4.641</w:t>
            </w:r>
          </w:p>
        </w:tc>
      </w:tr>
      <w:tr w:rsidR="00B0258C" w:rsidRPr="00843880" w14:paraId="53EE0CB5" w14:textId="77777777" w:rsidTr="00D81097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77416" w14:textId="77777777" w:rsidR="00B0258C" w:rsidRPr="00536E9A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Prihodi od zakupa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D4482" w14:textId="7D8A5DEE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10.804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AA2B3B" w14:textId="509E2F9B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12.532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967DF" w14:textId="775C565D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14.262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2D65E" w14:textId="7DCF92F8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68D78" w14:textId="48896B0E" w:rsidR="00B0258C" w:rsidRPr="00536E9A" w:rsidRDefault="00A50006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0006">
              <w:rPr>
                <w:rFonts w:ascii="Times New Roman" w:hAnsi="Times New Roman" w:cs="Times New Roman"/>
                <w:sz w:val="20"/>
                <w:szCs w:val="20"/>
              </w:rPr>
              <w:t>23.282</w:t>
            </w:r>
          </w:p>
        </w:tc>
      </w:tr>
      <w:tr w:rsidR="00B0258C" w:rsidRPr="00843880" w14:paraId="0044C306" w14:textId="77777777" w:rsidTr="003233E3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A6CF8" w14:textId="5623C683" w:rsidR="00B0258C" w:rsidRPr="00536E9A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Prihodi od refundacija režija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3518C" w14:textId="1F463D37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6.217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C0741" w14:textId="7C04B146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7.426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F2693" w14:textId="528C5223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10.597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7A6B3" w14:textId="356025C1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2FDF0" w14:textId="7F3CAF73" w:rsidR="00B0258C" w:rsidRPr="00536E9A" w:rsidRDefault="008653BE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9.231</w:t>
            </w:r>
          </w:p>
        </w:tc>
      </w:tr>
      <w:tr w:rsidR="00B0258C" w:rsidRPr="00843880" w14:paraId="5F762EAC" w14:textId="77777777" w:rsidTr="00D81097">
        <w:tc>
          <w:tcPr>
            <w:tcW w:w="2802" w:type="dxa"/>
            <w:shd w:val="clear" w:color="auto" w:fill="FFFFCC"/>
            <w:vAlign w:val="center"/>
          </w:tcPr>
          <w:p w14:paraId="68FA60B2" w14:textId="77777777" w:rsidR="00B0258C" w:rsidRPr="00536E9A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685C6A40" w14:textId="44951E13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888.046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3C64FC75" w14:textId="194982C1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744.289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14:paraId="0935DADE" w14:textId="472B0965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886.296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14:paraId="721A1943" w14:textId="78E672CA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604.943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14:paraId="6E481C65" w14:textId="67EB2CEA" w:rsidR="00B0258C" w:rsidRPr="00536E9A" w:rsidRDefault="009023AA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631.438</w:t>
            </w:r>
          </w:p>
        </w:tc>
      </w:tr>
      <w:tr w:rsidR="00B0258C" w:rsidRPr="00843880" w14:paraId="373D9C69" w14:textId="77777777" w:rsidTr="00D81097">
        <w:tc>
          <w:tcPr>
            <w:tcW w:w="2802" w:type="dxa"/>
            <w:shd w:val="clear" w:color="auto" w:fill="FFFFCC"/>
            <w:vAlign w:val="center"/>
          </w:tcPr>
          <w:p w14:paraId="53E9708C" w14:textId="2CEC4CBE" w:rsidR="00B0258C" w:rsidRPr="00536E9A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Vlastiti prihodi bez PPO</w:t>
            </w:r>
            <w:r w:rsidR="001C1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-a: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3D8F9290" w14:textId="3BCEB8F4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734.751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47F660C6" w14:textId="2A09DBFB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625.422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14:paraId="51EB6A30" w14:textId="27002B49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684.774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14:paraId="4F55A09B" w14:textId="4BBBE133" w:rsidR="00B0258C" w:rsidRPr="00536E9A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604.943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14:paraId="22FF4D1A" w14:textId="034C4CD5" w:rsidR="00B0258C" w:rsidRDefault="009023AA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631.438</w:t>
            </w:r>
          </w:p>
        </w:tc>
      </w:tr>
      <w:tr w:rsidR="00B0258C" w:rsidRPr="00885BCD" w14:paraId="309D4AD1" w14:textId="77777777" w:rsidTr="00843880">
        <w:tc>
          <w:tcPr>
            <w:tcW w:w="2802" w:type="dxa"/>
            <w:shd w:val="clear" w:color="auto" w:fill="FFFFCC"/>
            <w:vAlign w:val="center"/>
          </w:tcPr>
          <w:p w14:paraId="51A64A4D" w14:textId="77777777" w:rsidR="00B0258C" w:rsidRPr="00885BCD" w:rsidRDefault="00B0258C" w:rsidP="00B025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Izdvajanja za Sveučilište 3% (+1% od 2023.)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737D43DC" w14:textId="01BB4E1A" w:rsidR="00B0258C" w:rsidRPr="00885BCD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sz w:val="20"/>
                <w:szCs w:val="20"/>
              </w:rPr>
              <w:t>21.554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27A15199" w14:textId="3E8FF859" w:rsidR="00B0258C" w:rsidRPr="00885BCD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sz w:val="20"/>
                <w:szCs w:val="20"/>
              </w:rPr>
              <w:t>22.895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72C42C07" w14:textId="465706F9" w:rsidR="00B0258C" w:rsidRPr="00885BCD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sz w:val="20"/>
                <w:szCs w:val="20"/>
              </w:rPr>
              <w:t>28.096</w:t>
            </w:r>
          </w:p>
        </w:tc>
        <w:tc>
          <w:tcPr>
            <w:tcW w:w="1201" w:type="dxa"/>
            <w:shd w:val="clear" w:color="auto" w:fill="FFFFCC"/>
            <w:vAlign w:val="center"/>
          </w:tcPr>
          <w:p w14:paraId="6AD9F363" w14:textId="6432178D" w:rsidR="00B0258C" w:rsidRPr="00885BCD" w:rsidRDefault="00B0258C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31.210</w:t>
            </w:r>
          </w:p>
        </w:tc>
        <w:tc>
          <w:tcPr>
            <w:tcW w:w="1350" w:type="dxa"/>
            <w:shd w:val="clear" w:color="auto" w:fill="FFFFCC"/>
            <w:vAlign w:val="center"/>
          </w:tcPr>
          <w:p w14:paraId="465B1E11" w14:textId="2C6C5A5A" w:rsidR="00B0258C" w:rsidRPr="00885BCD" w:rsidRDefault="00A50006" w:rsidP="00B0258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20.850</w:t>
            </w:r>
          </w:p>
        </w:tc>
      </w:tr>
    </w:tbl>
    <w:bookmarkEnd w:id="0"/>
    <w:p w14:paraId="12C78410" w14:textId="0C410CE2" w:rsidR="00502989" w:rsidRPr="001C153B" w:rsidRDefault="001C153B" w:rsidP="001C153B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1C153B">
        <w:rPr>
          <w:rFonts w:ascii="Times New Roman" w:hAnsi="Times New Roman" w:cs="Times New Roman"/>
          <w:sz w:val="20"/>
          <w:szCs w:val="20"/>
          <w:highlight w:val="lightGray"/>
          <w:lang w:val="x-none"/>
        </w:rPr>
        <w:t>*</w:t>
      </w:r>
      <w:r w:rsidRPr="001C153B">
        <w:rPr>
          <w:rFonts w:ascii="Times New Roman" w:hAnsi="Times New Roman"/>
          <w:sz w:val="20"/>
          <w:szCs w:val="20"/>
          <w:lang w:val="x-none"/>
        </w:rPr>
        <w:t>PPO</w:t>
      </w:r>
      <w:r>
        <w:rPr>
          <w:rFonts w:ascii="Times New Roman" w:hAnsi="Times New Roman"/>
          <w:sz w:val="20"/>
          <w:szCs w:val="20"/>
          <w:lang w:val="x-none"/>
        </w:rPr>
        <w:t xml:space="preserve"> se</w:t>
      </w:r>
      <w:r w:rsidRPr="001C153B">
        <w:rPr>
          <w:rFonts w:ascii="Times New Roman" w:hAnsi="Times New Roman"/>
          <w:sz w:val="20"/>
          <w:szCs w:val="20"/>
          <w:lang w:val="x-none"/>
        </w:rPr>
        <w:t xml:space="preserve"> od 2024. evidentira kao prihod za posebne namjene, a ne vlastiti prihod.</w:t>
      </w:r>
    </w:p>
    <w:p w14:paraId="0B221635" w14:textId="083F17D5" w:rsidR="00502989" w:rsidRDefault="005F2081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>
        <w:rPr>
          <w:noProof/>
        </w:rPr>
        <w:lastRenderedPageBreak/>
        <w:drawing>
          <wp:inline distT="0" distB="0" distL="0" distR="0" wp14:anchorId="77820E02" wp14:editId="5A718FB3">
            <wp:extent cx="5760720" cy="3512820"/>
            <wp:effectExtent l="0" t="0" r="11430" b="1143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DB5EB85B-6A52-4199-877D-7BED949B8D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5BAB22A" w14:textId="77777777"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>Tablica 1.</w:t>
      </w:r>
      <w:r w:rsidR="003A103A">
        <w:rPr>
          <w:rFonts w:ascii="Times New Roman" w:hAnsi="Times New Roman" w:cs="Times New Roman"/>
          <w:b/>
          <w:sz w:val="24"/>
          <w:szCs w:val="24"/>
        </w:rPr>
        <w:t>2</w:t>
      </w: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>. Struktura prihoda Centra za izobrazbu pomoraca</w:t>
      </w: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984"/>
        <w:gridCol w:w="1418"/>
      </w:tblGrid>
      <w:tr w:rsidR="00832801" w:rsidRPr="00752573" w14:paraId="2779B461" w14:textId="77777777" w:rsidTr="008438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651D6F7" w14:textId="77777777"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B0962D" w14:textId="3E787201" w:rsidR="00832801" w:rsidRPr="00832801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80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653B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328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7E0B06" w14:textId="61F0F0ED"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653B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653BE" w:rsidRPr="00752573" w14:paraId="047CE564" w14:textId="77777777" w:rsidTr="008438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6DB" w14:textId="77777777" w:rsidR="008653BE" w:rsidRPr="00536E9A" w:rsidRDefault="008653BE" w:rsidP="008653B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CIP fizičke osobe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7C54" w14:textId="2A9209CA" w:rsidR="008653BE" w:rsidRPr="00832801" w:rsidRDefault="008653BE" w:rsidP="008653B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61E9" w14:textId="52DA2E91" w:rsidR="008653BE" w:rsidRPr="00536E9A" w:rsidRDefault="009D1F7C" w:rsidP="008653B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23.809</w:t>
            </w:r>
          </w:p>
        </w:tc>
      </w:tr>
      <w:tr w:rsidR="008653BE" w:rsidRPr="00752573" w14:paraId="6DDFED8E" w14:textId="77777777" w:rsidTr="008438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437" w14:textId="77777777" w:rsidR="008653BE" w:rsidRPr="00536E9A" w:rsidRDefault="008653BE" w:rsidP="008653B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CIP plaćanje karticama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63D" w14:textId="545CF3BE" w:rsidR="008653BE" w:rsidRPr="00832801" w:rsidRDefault="008653BE" w:rsidP="008653B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A6FC" w14:textId="1BC2D504" w:rsidR="008653BE" w:rsidRPr="00536E9A" w:rsidRDefault="009D1F7C" w:rsidP="008653B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58.052</w:t>
            </w:r>
          </w:p>
        </w:tc>
      </w:tr>
      <w:tr w:rsidR="008653BE" w:rsidRPr="00752573" w14:paraId="00371F45" w14:textId="77777777" w:rsidTr="00843880">
        <w:trPr>
          <w:trHeight w:val="176"/>
        </w:trPr>
        <w:tc>
          <w:tcPr>
            <w:tcW w:w="5637" w:type="dxa"/>
          </w:tcPr>
          <w:p w14:paraId="42A962E3" w14:textId="77777777" w:rsidR="008653BE" w:rsidRPr="00536E9A" w:rsidRDefault="008653BE" w:rsidP="008653B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CIP potvrdnice</w:t>
            </w:r>
          </w:p>
        </w:tc>
        <w:tc>
          <w:tcPr>
            <w:tcW w:w="1984" w:type="dxa"/>
          </w:tcPr>
          <w:p w14:paraId="77437381" w14:textId="437C9371" w:rsidR="008653BE" w:rsidRPr="00832801" w:rsidRDefault="008653BE" w:rsidP="008653B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18" w:type="dxa"/>
          </w:tcPr>
          <w:p w14:paraId="71B32248" w14:textId="1B3E737E" w:rsidR="008653BE" w:rsidRPr="00536E9A" w:rsidRDefault="008653BE" w:rsidP="008653B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BE" w:rsidRPr="00752573" w14:paraId="19350417" w14:textId="77777777" w:rsidTr="00843880">
        <w:tc>
          <w:tcPr>
            <w:tcW w:w="5637" w:type="dxa"/>
            <w:tcBorders>
              <w:bottom w:val="single" w:sz="4" w:space="0" w:color="auto"/>
            </w:tcBorders>
          </w:tcPr>
          <w:p w14:paraId="5DB737F6" w14:textId="77777777" w:rsidR="008653BE" w:rsidRPr="00536E9A" w:rsidRDefault="008653BE" w:rsidP="008653B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CIP tečaj pravne osobe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EAC46A" w14:textId="0323CE36" w:rsidR="008653BE" w:rsidRPr="00832801" w:rsidRDefault="008653BE" w:rsidP="008653B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170.637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7DFBE3" w14:textId="528B9BC7" w:rsidR="008653BE" w:rsidRPr="00536E9A" w:rsidRDefault="009D1F7C" w:rsidP="008653B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169.852</w:t>
            </w:r>
          </w:p>
        </w:tc>
      </w:tr>
      <w:tr w:rsidR="008653BE" w:rsidRPr="00752573" w14:paraId="7E7712FD" w14:textId="77777777" w:rsidTr="00843880">
        <w:tc>
          <w:tcPr>
            <w:tcW w:w="5637" w:type="dxa"/>
            <w:shd w:val="clear" w:color="auto" w:fill="FFFFCC"/>
          </w:tcPr>
          <w:p w14:paraId="21EAAAEB" w14:textId="77777777" w:rsidR="008653BE" w:rsidRPr="00536E9A" w:rsidRDefault="008653BE" w:rsidP="008653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984" w:type="dxa"/>
            <w:shd w:val="clear" w:color="auto" w:fill="FFFFCC"/>
          </w:tcPr>
          <w:p w14:paraId="42ABB491" w14:textId="1F746D16" w:rsidR="008653BE" w:rsidRPr="00832801" w:rsidRDefault="008653BE" w:rsidP="008653B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247.398</w:t>
            </w:r>
          </w:p>
        </w:tc>
        <w:tc>
          <w:tcPr>
            <w:tcW w:w="1418" w:type="dxa"/>
            <w:shd w:val="clear" w:color="auto" w:fill="FFFFCC"/>
          </w:tcPr>
          <w:p w14:paraId="503AE52F" w14:textId="77137E75" w:rsidR="008653BE" w:rsidRPr="00536E9A" w:rsidRDefault="009D1F7C" w:rsidP="008653B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251.713</w:t>
            </w:r>
          </w:p>
        </w:tc>
      </w:tr>
    </w:tbl>
    <w:p w14:paraId="392068B9" w14:textId="77777777"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E61F1" w14:textId="3697F226" w:rsid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 xml:space="preserve">PRIHODI ZA POSEBNE NAMJENE </w:t>
      </w:r>
      <w:r w:rsidRPr="00843880">
        <w:rPr>
          <w:rFonts w:ascii="Times New Roman" w:hAnsi="Times New Roman" w:cs="Times New Roman"/>
          <w:sz w:val="24"/>
          <w:szCs w:val="24"/>
        </w:rPr>
        <w:t>sastoje se od školarina i participacija studenata u troškovima studija (upisnine, diplome, uvjerenja i sl</w:t>
      </w:r>
      <w:r w:rsidR="009D1F7C">
        <w:rPr>
          <w:rFonts w:ascii="Times New Roman" w:hAnsi="Times New Roman" w:cs="Times New Roman"/>
          <w:sz w:val="24"/>
          <w:szCs w:val="24"/>
        </w:rPr>
        <w:t>.,</w:t>
      </w:r>
      <w:r w:rsidR="001C153B">
        <w:rPr>
          <w:rFonts w:ascii="Times New Roman" w:hAnsi="Times New Roman" w:cs="Times New Roman"/>
          <w:sz w:val="24"/>
          <w:szCs w:val="24"/>
        </w:rPr>
        <w:t>)</w:t>
      </w:r>
      <w:r w:rsidR="009D1F7C"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 xml:space="preserve">zakasnina i ostalih prihoda. </w:t>
      </w:r>
    </w:p>
    <w:p w14:paraId="5EE02122" w14:textId="77777777" w:rsidR="0042274C" w:rsidRPr="00843880" w:rsidRDefault="0042274C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2024. godine unutar ovih prihoda evidentiraju se i prihodi od posebnog programa obrazovanja kao dio cjeloživotnog obrazovanja koje</w:t>
      </w:r>
      <w:r w:rsidR="007B6E3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B20">
        <w:rPr>
          <w:rFonts w:ascii="Times New Roman" w:hAnsi="Times New Roman" w:cs="Times New Roman"/>
          <w:sz w:val="24"/>
          <w:szCs w:val="24"/>
        </w:rPr>
        <w:t>mogu izvoditi samo</w:t>
      </w:r>
      <w:r>
        <w:rPr>
          <w:rFonts w:ascii="Times New Roman" w:hAnsi="Times New Roman" w:cs="Times New Roman"/>
          <w:sz w:val="24"/>
          <w:szCs w:val="24"/>
        </w:rPr>
        <w:t xml:space="preserve"> visok</w:t>
      </w:r>
      <w:r w:rsidR="00EA3B2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učilišta i ne mogu ga</w:t>
      </w:r>
      <w:r w:rsidR="00EA3B20">
        <w:rPr>
          <w:rFonts w:ascii="Times New Roman" w:hAnsi="Times New Roman" w:cs="Times New Roman"/>
          <w:sz w:val="24"/>
          <w:szCs w:val="24"/>
        </w:rPr>
        <w:t xml:space="preserve"> održavati</w:t>
      </w:r>
      <w:r>
        <w:rPr>
          <w:rFonts w:ascii="Times New Roman" w:hAnsi="Times New Roman" w:cs="Times New Roman"/>
          <w:sz w:val="24"/>
          <w:szCs w:val="24"/>
        </w:rPr>
        <w:t xml:space="preserve"> ostali subjekti na tržištu. </w:t>
      </w:r>
    </w:p>
    <w:p w14:paraId="5763F33C" w14:textId="40B2C7C3" w:rsid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43880">
        <w:rPr>
          <w:rFonts w:ascii="Times New Roman" w:hAnsi="Times New Roman" w:cs="Times New Roman"/>
          <w:sz w:val="24"/>
          <w:szCs w:val="24"/>
        </w:rPr>
        <w:t>Najznačajniji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>prihodi za posebne namjene su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prihodi od školarina i </w:t>
      </w:r>
      <w:r w:rsidRPr="00843880">
        <w:rPr>
          <w:rFonts w:ascii="Times New Roman" w:hAnsi="Times New Roman" w:cs="Times New Roman"/>
          <w:sz w:val="24"/>
          <w:szCs w:val="24"/>
        </w:rPr>
        <w:t xml:space="preserve">ostvareni su </w:t>
      </w:r>
      <w:r w:rsidR="007B6E37">
        <w:rPr>
          <w:rFonts w:ascii="Times New Roman" w:hAnsi="Times New Roman" w:cs="Times New Roman"/>
          <w:sz w:val="24"/>
          <w:szCs w:val="24"/>
        </w:rPr>
        <w:t xml:space="preserve">u </w:t>
      </w:r>
      <w:r w:rsidRPr="00843880">
        <w:rPr>
          <w:rFonts w:ascii="Times New Roman" w:hAnsi="Times New Roman" w:cs="Times New Roman"/>
          <w:sz w:val="24"/>
          <w:szCs w:val="24"/>
        </w:rPr>
        <w:t xml:space="preserve">iznosu </w:t>
      </w:r>
      <w:r w:rsidR="00B12F4D">
        <w:rPr>
          <w:rFonts w:ascii="Times New Roman" w:hAnsi="Times New Roman" w:cs="Times New Roman"/>
          <w:sz w:val="24"/>
          <w:szCs w:val="24"/>
        </w:rPr>
        <w:t>od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="001C153B">
        <w:rPr>
          <w:rFonts w:ascii="Times New Roman" w:hAnsi="Times New Roman" w:cs="Times New Roman"/>
          <w:sz w:val="24"/>
          <w:szCs w:val="24"/>
        </w:rPr>
        <w:t>691.758</w:t>
      </w:r>
      <w:r w:rsidR="003A103A">
        <w:rPr>
          <w:rFonts w:ascii="Times New Roman" w:hAnsi="Times New Roman" w:cs="Times New Roman"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A26CAB" w14:textId="5ECF95CB" w:rsidR="00913BAC" w:rsidRDefault="00D70FD6" w:rsidP="00EE0B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FD6">
        <w:rPr>
          <w:rFonts w:ascii="Times New Roman" w:hAnsi="Times New Roman" w:cs="Times New Roman"/>
          <w:sz w:val="24"/>
          <w:szCs w:val="24"/>
        </w:rPr>
        <w:t xml:space="preserve">U akademsku godinu 2025./2026. upisalo se 1.268 studenta od toga 884 redovitih koji plaćaju školarinu linearno (od 0 do 1.100,00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D70FD6">
        <w:rPr>
          <w:rFonts w:ascii="Times New Roman" w:hAnsi="Times New Roman" w:cs="Times New Roman"/>
          <w:sz w:val="24"/>
          <w:szCs w:val="24"/>
        </w:rPr>
        <w:t xml:space="preserve">) i 384 izvanrednih koji plaćaju puni iznos školarine u iznosu od 1.100,00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D70FD6">
        <w:rPr>
          <w:rFonts w:ascii="Times New Roman" w:hAnsi="Times New Roman" w:cs="Times New Roman"/>
          <w:sz w:val="24"/>
          <w:szCs w:val="24"/>
        </w:rPr>
        <w:t xml:space="preserve">,  dok se prethodne akademske godine upisalo 1.303 studenta od toga 895 redovitih i 408 izvanrednih studenata (školarina je tad iznosila 979,00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D70FD6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013D3959" w14:textId="77777777" w:rsidR="00D70FD6" w:rsidRDefault="00D70FD6" w:rsidP="00EE0B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79568" w14:textId="77777777" w:rsidR="001C153B" w:rsidRDefault="001C153B" w:rsidP="00EE0B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E84C4" w14:textId="77777777" w:rsidR="00D70FD6" w:rsidRDefault="00D70FD6" w:rsidP="00EE0B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DD71" w14:textId="13F0F22A" w:rsidR="00843880" w:rsidRPr="00843880" w:rsidRDefault="00EE0BC7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EA3B2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43880" w:rsidRPr="0084388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843880" w:rsidRPr="00843880">
        <w:rPr>
          <w:rFonts w:ascii="Times New Roman" w:hAnsi="Times New Roman" w:cs="Times New Roman"/>
          <w:b/>
          <w:sz w:val="24"/>
          <w:szCs w:val="24"/>
          <w:lang w:val="x-none"/>
        </w:rPr>
        <w:t>Tablica 1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.</w:t>
      </w:r>
      <w:r w:rsidR="003A103A">
        <w:rPr>
          <w:rFonts w:ascii="Times New Roman" w:hAnsi="Times New Roman" w:cs="Times New Roman"/>
          <w:b/>
          <w:sz w:val="24"/>
          <w:szCs w:val="24"/>
        </w:rPr>
        <w:t>3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.</w:t>
      </w:r>
      <w:r w:rsidR="00843880" w:rsidRPr="00843880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Naplaćene školarine 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20</w:t>
      </w:r>
      <w:r w:rsidR="00832801">
        <w:rPr>
          <w:rFonts w:ascii="Times New Roman" w:hAnsi="Times New Roman" w:cs="Times New Roman"/>
          <w:b/>
          <w:sz w:val="24"/>
          <w:szCs w:val="24"/>
        </w:rPr>
        <w:t>2</w:t>
      </w:r>
      <w:r w:rsidR="00913BAC">
        <w:rPr>
          <w:rFonts w:ascii="Times New Roman" w:hAnsi="Times New Roman" w:cs="Times New Roman"/>
          <w:b/>
          <w:sz w:val="24"/>
          <w:szCs w:val="24"/>
        </w:rPr>
        <w:t>1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.-202</w:t>
      </w:r>
      <w:r w:rsidR="00913BAC">
        <w:rPr>
          <w:rFonts w:ascii="Times New Roman" w:hAnsi="Times New Roman" w:cs="Times New Roman"/>
          <w:b/>
          <w:sz w:val="24"/>
          <w:szCs w:val="24"/>
        </w:rPr>
        <w:t>5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.</w:t>
      </w:r>
      <w:r w:rsidR="00843880" w:rsidRPr="00843880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</w:p>
    <w:tbl>
      <w:tblPr>
        <w:tblpPr w:leftFromText="180" w:rightFromText="180" w:vertAnchor="text" w:horzAnchor="margin" w:tblpXSpec="center" w:tblpY="13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06"/>
        <w:gridCol w:w="1276"/>
        <w:gridCol w:w="1276"/>
        <w:gridCol w:w="1201"/>
        <w:gridCol w:w="1350"/>
      </w:tblGrid>
      <w:tr w:rsidR="009023AA" w:rsidRPr="00843880" w14:paraId="436DC32A" w14:textId="77777777" w:rsidTr="003E654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7B1A82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90079264"/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B4BAA1" w14:textId="7D6B8D54" w:rsidR="009023AA" w:rsidRPr="00536E9A" w:rsidRDefault="009023AA" w:rsidP="00902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2687E50" w14:textId="538A7448" w:rsidR="009023AA" w:rsidRPr="00536E9A" w:rsidRDefault="009023AA" w:rsidP="00902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C2BC5F" w14:textId="5211DF43" w:rsidR="009023AA" w:rsidRPr="00536E9A" w:rsidRDefault="009023AA" w:rsidP="00902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C1655A" w14:textId="5CD8F679" w:rsidR="009023AA" w:rsidRPr="00536E9A" w:rsidRDefault="009023AA" w:rsidP="00902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059E331" w14:textId="2DC52BDA" w:rsidR="009023AA" w:rsidRPr="00536E9A" w:rsidRDefault="009023AA" w:rsidP="00902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bookmarkEnd w:id="1"/>
      <w:tr w:rsidR="009023AA" w:rsidRPr="00843880" w14:paraId="17C6A642" w14:textId="77777777" w:rsidTr="00994890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4FF8B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Školarine redovni studij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C56CE" w14:textId="03F1667B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248.171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AF87A" w14:textId="7DC717C3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251.126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B196A" w14:textId="25BC896F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223.868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AE115" w14:textId="5D74E467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225.166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77C" w14:textId="6C413BD2" w:rsidR="009023AA" w:rsidRPr="0042274C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3AA">
              <w:rPr>
                <w:rFonts w:ascii="Times New Roman" w:hAnsi="Times New Roman" w:cs="Times New Roman"/>
                <w:bCs/>
                <w:sz w:val="20"/>
                <w:szCs w:val="20"/>
              </w:rPr>
              <w:t>232.798</w:t>
            </w:r>
          </w:p>
        </w:tc>
      </w:tr>
      <w:tr w:rsidR="009023AA" w:rsidRPr="00843880" w14:paraId="21A82095" w14:textId="77777777" w:rsidTr="00994890">
        <w:trPr>
          <w:trHeight w:val="176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4ED05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Školarine izvanredni studij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5B7BF" w14:textId="7444F0FE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505.103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71FEA" w14:textId="50C0F59D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477.484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FFB7F" w14:textId="086D98DD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360.440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00669" w14:textId="39A0126A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364.158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ABA" w14:textId="3C54309E" w:rsidR="009023AA" w:rsidRPr="0042274C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3AA">
              <w:rPr>
                <w:rFonts w:ascii="Times New Roman" w:hAnsi="Times New Roman" w:cs="Times New Roman"/>
                <w:bCs/>
                <w:sz w:val="20"/>
                <w:szCs w:val="20"/>
              </w:rPr>
              <w:t>366.384</w:t>
            </w:r>
          </w:p>
        </w:tc>
      </w:tr>
      <w:tr w:rsidR="009023AA" w:rsidRPr="00843880" w14:paraId="3DE97B2D" w14:textId="77777777" w:rsidTr="00994890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6B3E5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Školarine razlikovni studij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021C6" w14:textId="116221E8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5.298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C6AA4" w14:textId="3DBD50AF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3.489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3FAE3" w14:textId="33476602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2.510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C79C2" w14:textId="742444C7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1.958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029" w14:textId="7E8453C0" w:rsidR="009023AA" w:rsidRPr="0042274C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3AA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</w:tc>
      </w:tr>
      <w:tr w:rsidR="009023AA" w:rsidRPr="00843880" w14:paraId="742999E5" w14:textId="77777777" w:rsidTr="00994890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755B9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Školarine doktorski studij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07506" w14:textId="074E0A79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53.155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6205A" w14:textId="5A6B39EA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61.384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3E6E0" w14:textId="495659D2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55.462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CF279" w14:textId="47F2A484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63.294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D04A" w14:textId="0D17A29E" w:rsidR="009023AA" w:rsidRPr="0042274C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3AA">
              <w:rPr>
                <w:rFonts w:ascii="Times New Roman" w:hAnsi="Times New Roman" w:cs="Times New Roman"/>
                <w:bCs/>
                <w:sz w:val="20"/>
                <w:szCs w:val="20"/>
              </w:rPr>
              <w:t>65.258</w:t>
            </w:r>
          </w:p>
        </w:tc>
      </w:tr>
      <w:tr w:rsidR="009023AA" w:rsidRPr="00843880" w14:paraId="7C3FA42C" w14:textId="77777777" w:rsidTr="00994890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1DF7F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Upisnine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80E57" w14:textId="4B5454FA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24.333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AD52F" w14:textId="085EBF5F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22.196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11AAF" w14:textId="797AC9FA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20.454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95E4D" w14:textId="76C8DBB8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18.885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88B0" w14:textId="388153D2" w:rsidR="009023AA" w:rsidRPr="0042274C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3AA">
              <w:rPr>
                <w:rFonts w:ascii="Times New Roman" w:hAnsi="Times New Roman" w:cs="Times New Roman"/>
                <w:bCs/>
                <w:sz w:val="20"/>
                <w:szCs w:val="20"/>
              </w:rPr>
              <w:t>20.87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023AA" w:rsidRPr="00843880" w14:paraId="6356FF15" w14:textId="77777777" w:rsidTr="00994890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A1CD4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Razredbeni postupak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0B9C5" w14:textId="70A4FC3E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3A2B8" w14:textId="0291A964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299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632C1" w14:textId="35039843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5DBA6" w14:textId="0591F60B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85D" w14:textId="553A79E3" w:rsidR="009023AA" w:rsidRPr="0042274C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3A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023AA" w:rsidRPr="00843880" w14:paraId="283BE9FB" w14:textId="77777777" w:rsidTr="00994890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4A46B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Diplome, uvjerenja i sl.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463E7" w14:textId="3E9519AE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16.378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97641" w14:textId="1A8519D0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16.077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4D37" w14:textId="3E74C29C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1.617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11A42" w14:textId="521F5F05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7.008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49AA" w14:textId="1741906A" w:rsidR="009023AA" w:rsidRPr="0042274C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3AA">
              <w:rPr>
                <w:rFonts w:ascii="Times New Roman" w:hAnsi="Times New Roman" w:cs="Times New Roman"/>
                <w:bCs/>
                <w:sz w:val="20"/>
                <w:szCs w:val="20"/>
              </w:rPr>
              <w:t>6.337</w:t>
            </w:r>
          </w:p>
        </w:tc>
      </w:tr>
      <w:tr w:rsidR="009023AA" w:rsidRPr="00843880" w14:paraId="6D799F45" w14:textId="77777777" w:rsidTr="009023AA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D8C1954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Ukupno: 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</w:tcPr>
          <w:p w14:paraId="22B46882" w14:textId="0B225175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852.728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</w:tcPr>
          <w:p w14:paraId="7E1A1784" w14:textId="72A90E22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832.054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</w:tcPr>
          <w:p w14:paraId="4A05306B" w14:textId="64743C14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664.351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</w:tcPr>
          <w:p w14:paraId="441F5050" w14:textId="3F89181B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680.469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58E5EF" w14:textId="6B088DFB" w:rsidR="009023AA" w:rsidRPr="009023A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3AA">
              <w:rPr>
                <w:rFonts w:ascii="Times New Roman" w:hAnsi="Times New Roman" w:cs="Times New Roman"/>
                <w:b/>
                <w:sz w:val="20"/>
                <w:szCs w:val="20"/>
              </w:rPr>
              <w:t>691.758</w:t>
            </w:r>
          </w:p>
        </w:tc>
      </w:tr>
      <w:tr w:rsidR="009023AA" w:rsidRPr="00843880" w14:paraId="7EB13DBB" w14:textId="77777777" w:rsidTr="009023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E002AA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Izdvajanja za Sveučilište 3% (+1% od 2023.)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D331DD" w14:textId="75F5C034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26.419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2CB9BC" w14:textId="5306D9D0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24.307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DE41F5" w14:textId="2C10C931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29.643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95139F" w14:textId="60A2794E" w:rsidR="009023AA" w:rsidRPr="00536E9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1E7667" w14:textId="76A0B217" w:rsidR="009023AA" w:rsidRPr="009023AA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3AA">
              <w:rPr>
                <w:rFonts w:ascii="Times New Roman" w:hAnsi="Times New Roman" w:cs="Times New Roman"/>
                <w:b/>
                <w:sz w:val="20"/>
                <w:szCs w:val="20"/>
              </w:rPr>
              <w:t>26.216</w:t>
            </w:r>
          </w:p>
        </w:tc>
      </w:tr>
    </w:tbl>
    <w:p w14:paraId="709A39EC" w14:textId="47FBE722" w:rsidR="00C34087" w:rsidRDefault="00C34087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Obračun upisnina od </w:t>
      </w:r>
      <w:r w:rsidR="00741060">
        <w:rPr>
          <w:rFonts w:ascii="Times New Roman" w:hAnsi="Times New Roman" w:cs="Times New Roman"/>
          <w:b/>
          <w:sz w:val="24"/>
          <w:szCs w:val="24"/>
        </w:rPr>
        <w:t>prijed</w:t>
      </w:r>
      <w:r>
        <w:rPr>
          <w:rFonts w:ascii="Times New Roman" w:hAnsi="Times New Roman" w:cs="Times New Roman"/>
          <w:b/>
          <w:sz w:val="24"/>
          <w:szCs w:val="24"/>
        </w:rPr>
        <w:t xml:space="preserve">iplomskih i diplomskih studija </w:t>
      </w:r>
      <w:r w:rsidR="00EA3B20">
        <w:rPr>
          <w:rFonts w:ascii="Times New Roman" w:hAnsi="Times New Roman" w:cs="Times New Roman"/>
          <w:b/>
          <w:sz w:val="24"/>
          <w:szCs w:val="24"/>
        </w:rPr>
        <w:t xml:space="preserve">za uplatu Sveučilištu u Rijeci </w:t>
      </w:r>
      <w:r w:rsidR="008E5977">
        <w:rPr>
          <w:rFonts w:ascii="Times New Roman" w:hAnsi="Times New Roman" w:cs="Times New Roman"/>
          <w:b/>
          <w:sz w:val="24"/>
          <w:szCs w:val="24"/>
        </w:rPr>
        <w:t>za ak.g. 202</w:t>
      </w:r>
      <w:r w:rsidR="009023AA">
        <w:rPr>
          <w:rFonts w:ascii="Times New Roman" w:hAnsi="Times New Roman" w:cs="Times New Roman"/>
          <w:b/>
          <w:sz w:val="24"/>
          <w:szCs w:val="24"/>
        </w:rPr>
        <w:t>5</w:t>
      </w:r>
      <w:r w:rsidR="008E5977">
        <w:rPr>
          <w:rFonts w:ascii="Times New Roman" w:hAnsi="Times New Roman" w:cs="Times New Roman"/>
          <w:b/>
          <w:sz w:val="24"/>
          <w:szCs w:val="24"/>
        </w:rPr>
        <w:t>./202</w:t>
      </w:r>
      <w:r w:rsidR="009023AA">
        <w:rPr>
          <w:rFonts w:ascii="Times New Roman" w:hAnsi="Times New Roman" w:cs="Times New Roman"/>
          <w:b/>
          <w:sz w:val="24"/>
          <w:szCs w:val="24"/>
        </w:rPr>
        <w:t>6</w:t>
      </w:r>
      <w:r w:rsidR="008E597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iznosi </w:t>
      </w:r>
      <w:r w:rsidR="008E5977">
        <w:rPr>
          <w:rFonts w:ascii="Times New Roman" w:hAnsi="Times New Roman" w:cs="Times New Roman"/>
          <w:b/>
          <w:sz w:val="24"/>
          <w:szCs w:val="24"/>
        </w:rPr>
        <w:t>4</w:t>
      </w:r>
      <w:r w:rsidR="009023AA">
        <w:rPr>
          <w:rFonts w:ascii="Times New Roman" w:hAnsi="Times New Roman" w:cs="Times New Roman"/>
          <w:b/>
          <w:sz w:val="24"/>
          <w:szCs w:val="24"/>
        </w:rPr>
        <w:t>3.589</w:t>
      </w:r>
      <w:r>
        <w:rPr>
          <w:rFonts w:ascii="Times New Roman" w:hAnsi="Times New Roman" w:cs="Times New Roman"/>
          <w:b/>
          <w:sz w:val="24"/>
          <w:szCs w:val="24"/>
        </w:rPr>
        <w:t xml:space="preserve"> EUR, a </w:t>
      </w:r>
      <w:r w:rsidR="00885BCD">
        <w:rPr>
          <w:rFonts w:ascii="Times New Roman" w:hAnsi="Times New Roman" w:cs="Times New Roman"/>
          <w:b/>
          <w:sz w:val="24"/>
          <w:szCs w:val="24"/>
        </w:rPr>
        <w:t xml:space="preserve">obračun </w:t>
      </w:r>
      <w:r>
        <w:rPr>
          <w:rFonts w:ascii="Times New Roman" w:hAnsi="Times New Roman" w:cs="Times New Roman"/>
          <w:b/>
          <w:sz w:val="24"/>
          <w:szCs w:val="24"/>
        </w:rPr>
        <w:t xml:space="preserve">upisnina od </w:t>
      </w:r>
      <w:r w:rsidR="007B6E37">
        <w:rPr>
          <w:rFonts w:ascii="Times New Roman" w:hAnsi="Times New Roman" w:cs="Times New Roman"/>
          <w:b/>
          <w:sz w:val="24"/>
          <w:szCs w:val="24"/>
        </w:rPr>
        <w:t xml:space="preserve">doktorskog </w:t>
      </w:r>
      <w:r>
        <w:rPr>
          <w:rFonts w:ascii="Times New Roman" w:hAnsi="Times New Roman" w:cs="Times New Roman"/>
          <w:b/>
          <w:sz w:val="24"/>
          <w:szCs w:val="24"/>
        </w:rPr>
        <w:t>studija</w:t>
      </w:r>
      <w:r w:rsidR="00885BCD">
        <w:rPr>
          <w:rFonts w:ascii="Times New Roman" w:hAnsi="Times New Roman" w:cs="Times New Roman"/>
          <w:b/>
          <w:sz w:val="24"/>
          <w:szCs w:val="24"/>
        </w:rPr>
        <w:t xml:space="preserve"> iznosi</w:t>
      </w: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8E5977">
        <w:rPr>
          <w:rFonts w:ascii="Times New Roman" w:hAnsi="Times New Roman" w:cs="Times New Roman"/>
          <w:b/>
          <w:sz w:val="24"/>
          <w:szCs w:val="24"/>
        </w:rPr>
        <w:t>8</w:t>
      </w:r>
      <w:r w:rsidR="009023AA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 xml:space="preserve"> EUR. </w:t>
      </w:r>
    </w:p>
    <w:p w14:paraId="4840057A" w14:textId="77777777" w:rsidR="001C153B" w:rsidRDefault="001C153B" w:rsidP="001C15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3880">
        <w:rPr>
          <w:rFonts w:ascii="Times New Roman" w:hAnsi="Times New Roman" w:cs="Times New Roman"/>
          <w:b/>
          <w:sz w:val="24"/>
          <w:szCs w:val="24"/>
        </w:rPr>
        <w:t>. godin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ukupan iznos obveze prema Sveučilištu </w:t>
      </w:r>
      <w:r>
        <w:rPr>
          <w:rFonts w:ascii="Times New Roman" w:hAnsi="Times New Roman" w:cs="Times New Roman"/>
          <w:b/>
          <w:sz w:val="24"/>
          <w:szCs w:val="24"/>
        </w:rPr>
        <w:t xml:space="preserve">u Rijeci za </w:t>
      </w:r>
      <w:r w:rsidRPr="00843880">
        <w:rPr>
          <w:rFonts w:ascii="Times New Roman" w:hAnsi="Times New Roman" w:cs="Times New Roman"/>
          <w:b/>
          <w:sz w:val="24"/>
          <w:szCs w:val="24"/>
        </w:rPr>
        <w:t>izdvajanj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3% </w:t>
      </w:r>
      <w:r>
        <w:rPr>
          <w:rFonts w:ascii="Times New Roman" w:hAnsi="Times New Roman" w:cs="Times New Roman"/>
          <w:b/>
          <w:sz w:val="24"/>
          <w:szCs w:val="24"/>
        </w:rPr>
        <w:t xml:space="preserve">+1% 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vlastitih prihoda ostvarenih na tržištu i prihoda od školarina, te prihoda od upisnina </w:t>
      </w:r>
      <w:r>
        <w:rPr>
          <w:rFonts w:ascii="Times New Roman" w:hAnsi="Times New Roman" w:cs="Times New Roman"/>
          <w:b/>
          <w:sz w:val="24"/>
          <w:szCs w:val="24"/>
        </w:rPr>
        <w:t>(prijediplomski, diplomski i doktorski studij) iznosi 93.507 EUR.</w:t>
      </w:r>
    </w:p>
    <w:p w14:paraId="67AD10D6" w14:textId="77777777" w:rsidR="00B12F4D" w:rsidRDefault="00B12F4D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BD68D" w14:textId="09500D99" w:rsidR="00C34087" w:rsidRDefault="005F2081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F265423" wp14:editId="2FB67842">
            <wp:extent cx="5760720" cy="3422650"/>
            <wp:effectExtent l="0" t="0" r="11430" b="635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1C19072-C208-4D17-8FC7-94C0311F41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6ACD6B" w14:textId="77777777" w:rsidR="00D70FD6" w:rsidRDefault="00D70FD6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8D3469" w14:textId="77777777" w:rsidR="00D70FD6" w:rsidRDefault="00D70FD6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DC751" w14:textId="77777777" w:rsidR="00D70FD6" w:rsidRDefault="00D70FD6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7BEA8" w14:textId="77777777" w:rsidR="00602ED9" w:rsidRDefault="007A4C09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od posebnog programa obrazovanja ostvareni su kako slijedi:</w:t>
      </w:r>
    </w:p>
    <w:tbl>
      <w:tblPr>
        <w:tblpPr w:leftFromText="180" w:rightFromText="180" w:vertAnchor="text" w:horzAnchor="margin" w:tblpXSpec="center" w:tblpY="13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06"/>
        <w:gridCol w:w="1276"/>
        <w:gridCol w:w="1276"/>
        <w:gridCol w:w="1201"/>
        <w:gridCol w:w="1350"/>
      </w:tblGrid>
      <w:tr w:rsidR="009023AA" w:rsidRPr="00536E9A" w14:paraId="224252DA" w14:textId="77777777" w:rsidTr="004D5F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F9D640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9D16F7" w14:textId="40D770F8" w:rsidR="009023AA" w:rsidRPr="00536E9A" w:rsidRDefault="009023AA" w:rsidP="00902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86CC2C" w14:textId="71B591B3" w:rsidR="009023AA" w:rsidRPr="00536E9A" w:rsidRDefault="009023AA" w:rsidP="00902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0538C41" w14:textId="60031CA7" w:rsidR="009023AA" w:rsidRPr="00536E9A" w:rsidRDefault="009023AA" w:rsidP="00902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384C0B" w14:textId="28CF8DF2" w:rsidR="009023AA" w:rsidRPr="00536E9A" w:rsidRDefault="009023AA" w:rsidP="00902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C9FED7" w14:textId="52FE7ADA" w:rsidR="009023AA" w:rsidRPr="00536E9A" w:rsidRDefault="009023AA" w:rsidP="009023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023AA" w:rsidRPr="0042274C" w14:paraId="6D5B237C" w14:textId="77777777" w:rsidTr="000C65CE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3961" w14:textId="77777777" w:rsidR="009023AA" w:rsidRPr="00536E9A" w:rsidRDefault="009023AA" w:rsidP="009023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32351" w14:textId="7430C39A" w:rsidR="009023AA" w:rsidRDefault="009023AA" w:rsidP="009023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153.295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EB58A" w14:textId="06AB61E8" w:rsidR="009023AA" w:rsidRDefault="009023AA" w:rsidP="009023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118.867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7442E" w14:textId="29C56212" w:rsidR="009023AA" w:rsidRDefault="009023AA" w:rsidP="009023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201.522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F5268" w14:textId="6186ECCA" w:rsidR="009023AA" w:rsidRDefault="009023AA" w:rsidP="009023AA">
            <w:pPr>
              <w:jc w:val="right"/>
              <w:rPr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131.852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93460" w14:textId="0433B3C8" w:rsidR="009023AA" w:rsidRPr="0042274C" w:rsidRDefault="009023AA" w:rsidP="009023AA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125.578</w:t>
            </w:r>
          </w:p>
        </w:tc>
      </w:tr>
    </w:tbl>
    <w:p w14:paraId="5C6D395E" w14:textId="33F523BF" w:rsidR="00602ED9" w:rsidRDefault="007A4C09" w:rsidP="007A4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C09">
        <w:rPr>
          <w:rFonts w:ascii="Times New Roman" w:hAnsi="Times New Roman" w:cs="Times New Roman"/>
          <w:sz w:val="24"/>
          <w:szCs w:val="24"/>
        </w:rPr>
        <w:t>Prihodi od programa izobrazbe i cjeloživotnog obrazovanja</w:t>
      </w:r>
      <w:r w:rsidR="007B6E37">
        <w:rPr>
          <w:rFonts w:ascii="Times New Roman" w:hAnsi="Times New Roman" w:cs="Times New Roman"/>
          <w:sz w:val="24"/>
          <w:szCs w:val="24"/>
        </w:rPr>
        <w:t xml:space="preserve"> u 202</w:t>
      </w:r>
      <w:r w:rsidR="009023AA">
        <w:rPr>
          <w:rFonts w:ascii="Times New Roman" w:hAnsi="Times New Roman" w:cs="Times New Roman"/>
          <w:sz w:val="24"/>
          <w:szCs w:val="24"/>
        </w:rPr>
        <w:t>5</w:t>
      </w:r>
      <w:r w:rsidR="007B6E37">
        <w:rPr>
          <w:rFonts w:ascii="Times New Roman" w:hAnsi="Times New Roman" w:cs="Times New Roman"/>
          <w:sz w:val="24"/>
          <w:szCs w:val="24"/>
        </w:rPr>
        <w:t>. godini</w:t>
      </w:r>
      <w:r w:rsidRPr="007A4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manji</w:t>
      </w:r>
      <w:r w:rsidRPr="007A4C09">
        <w:rPr>
          <w:rFonts w:ascii="Times New Roman" w:hAnsi="Times New Roman" w:cs="Times New Roman"/>
          <w:sz w:val="24"/>
          <w:szCs w:val="24"/>
        </w:rPr>
        <w:t xml:space="preserve"> su u odnosu na 202</w:t>
      </w:r>
      <w:r w:rsidR="009023AA">
        <w:rPr>
          <w:rFonts w:ascii="Times New Roman" w:hAnsi="Times New Roman" w:cs="Times New Roman"/>
          <w:sz w:val="24"/>
          <w:szCs w:val="24"/>
        </w:rPr>
        <w:t>4</w:t>
      </w:r>
      <w:r w:rsidRPr="007A4C09">
        <w:rPr>
          <w:rFonts w:ascii="Times New Roman" w:hAnsi="Times New Roman" w:cs="Times New Roman"/>
          <w:sz w:val="24"/>
          <w:szCs w:val="24"/>
        </w:rPr>
        <w:t xml:space="preserve">. godinu </w:t>
      </w:r>
      <w:r w:rsidR="00D70FD6">
        <w:rPr>
          <w:rFonts w:ascii="Times New Roman" w:hAnsi="Times New Roman" w:cs="Times New Roman"/>
          <w:sz w:val="24"/>
          <w:szCs w:val="24"/>
        </w:rPr>
        <w:t>zbog manjeg broja upisanih polaznika.</w:t>
      </w:r>
      <w:r w:rsidRPr="007A4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F5A40" w14:textId="5A5361DA" w:rsidR="005B5AE4" w:rsidRPr="005B5AE4" w:rsidRDefault="005B5AE4" w:rsidP="0084388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PRIHODI OD POMOĆI </w:t>
      </w:r>
      <w:r>
        <w:rPr>
          <w:rFonts w:ascii="Times New Roman" w:hAnsi="Times New Roman" w:cs="Times New Roman"/>
          <w:bCs/>
          <w:sz w:val="24"/>
          <w:szCs w:val="24"/>
        </w:rPr>
        <w:t xml:space="preserve">čine prihodi od EU projekata i ostvareni su u iznosu od  1.219.702 EUR koji su doznačeni od partnera na projektima u sklopu programa Interreg, Erasmus i Horizon. </w:t>
      </w:r>
    </w:p>
    <w:p w14:paraId="783DB99E" w14:textId="23B04060" w:rsidR="005B5AE4" w:rsidRDefault="005B5AE4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E4">
        <w:rPr>
          <w:rFonts w:ascii="Times New Roman" w:hAnsi="Times New Roman" w:cs="Times New Roman"/>
          <w:b/>
          <w:sz w:val="24"/>
          <w:szCs w:val="24"/>
        </w:rPr>
        <w:t xml:space="preserve">Detaljan prikaz </w:t>
      </w:r>
      <w:r w:rsidR="001C153B">
        <w:rPr>
          <w:rFonts w:ascii="Times New Roman" w:hAnsi="Times New Roman" w:cs="Times New Roman"/>
          <w:b/>
          <w:sz w:val="24"/>
          <w:szCs w:val="24"/>
        </w:rPr>
        <w:t xml:space="preserve">ostvarenja i trošenja </w:t>
      </w:r>
      <w:r w:rsidRPr="005B5AE4">
        <w:rPr>
          <w:rFonts w:ascii="Times New Roman" w:hAnsi="Times New Roman" w:cs="Times New Roman"/>
          <w:b/>
          <w:sz w:val="24"/>
          <w:szCs w:val="24"/>
        </w:rPr>
        <w:t xml:space="preserve">sredstava EU </w:t>
      </w:r>
      <w:r w:rsidR="001C153B">
        <w:rPr>
          <w:rFonts w:ascii="Times New Roman" w:hAnsi="Times New Roman" w:cs="Times New Roman"/>
          <w:b/>
          <w:sz w:val="24"/>
          <w:szCs w:val="24"/>
        </w:rPr>
        <w:t>sadržan</w:t>
      </w:r>
      <w:r w:rsidRPr="005B5AE4">
        <w:rPr>
          <w:rFonts w:ascii="Times New Roman" w:hAnsi="Times New Roman" w:cs="Times New Roman"/>
          <w:b/>
          <w:sz w:val="24"/>
          <w:szCs w:val="24"/>
        </w:rPr>
        <w:t xml:space="preserve"> je u Izvještaju o korištenju sredstava fondova Europske unije.</w:t>
      </w:r>
    </w:p>
    <w:p w14:paraId="653EA596" w14:textId="2DE633D5" w:rsidR="00843880" w:rsidRPr="00843880" w:rsidRDefault="00C34087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RIHODE OD OSTALIH POMOĆI I DAROVNICA</w:t>
      </w:r>
      <w:r w:rsidR="00843880" w:rsidRPr="00843880">
        <w:rPr>
          <w:rFonts w:ascii="Times New Roman" w:hAnsi="Times New Roman" w:cs="Times New Roman"/>
          <w:sz w:val="24"/>
          <w:szCs w:val="24"/>
        </w:rPr>
        <w:t xml:space="preserve"> čine prihodi od međunarodnih organizacija</w:t>
      </w:r>
      <w:r w:rsidR="009E5FF3">
        <w:rPr>
          <w:rFonts w:ascii="Times New Roman" w:hAnsi="Times New Roman" w:cs="Times New Roman"/>
          <w:sz w:val="24"/>
          <w:szCs w:val="24"/>
        </w:rPr>
        <w:t xml:space="preserve"> (IAMU)</w:t>
      </w:r>
      <w:r w:rsidR="00843880" w:rsidRPr="00843880">
        <w:rPr>
          <w:rFonts w:ascii="Times New Roman" w:hAnsi="Times New Roman" w:cs="Times New Roman"/>
          <w:sz w:val="24"/>
          <w:szCs w:val="24"/>
        </w:rPr>
        <w:t>, te prihodi doznačeni od ostalih proračunskih korisnika, Sveučilišt</w:t>
      </w:r>
      <w:r w:rsidR="00045B6A">
        <w:rPr>
          <w:rFonts w:ascii="Times New Roman" w:hAnsi="Times New Roman" w:cs="Times New Roman"/>
          <w:sz w:val="24"/>
          <w:szCs w:val="24"/>
        </w:rPr>
        <w:t>a u Rijeci</w:t>
      </w:r>
      <w:r w:rsidR="00843880" w:rsidRPr="00843880">
        <w:rPr>
          <w:rFonts w:ascii="Times New Roman" w:hAnsi="Times New Roman" w:cs="Times New Roman"/>
          <w:sz w:val="24"/>
          <w:szCs w:val="24"/>
        </w:rPr>
        <w:t xml:space="preserve"> i ministarstava za financiranje</w:t>
      </w:r>
      <w:r w:rsidR="00EA3B20">
        <w:rPr>
          <w:rFonts w:ascii="Times New Roman" w:hAnsi="Times New Roman" w:cs="Times New Roman"/>
          <w:sz w:val="24"/>
          <w:szCs w:val="24"/>
        </w:rPr>
        <w:t xml:space="preserve"> EU</w:t>
      </w:r>
      <w:r w:rsidR="00843880" w:rsidRPr="00843880">
        <w:rPr>
          <w:rFonts w:ascii="Times New Roman" w:hAnsi="Times New Roman" w:cs="Times New Roman"/>
          <w:sz w:val="24"/>
          <w:szCs w:val="24"/>
        </w:rPr>
        <w:t xml:space="preserve"> projekata. </w:t>
      </w:r>
    </w:p>
    <w:p w14:paraId="142969AD" w14:textId="7F020B44" w:rsidR="00D70FD6" w:rsidRDefault="00D70FD6" w:rsidP="00D70F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FD6">
        <w:rPr>
          <w:rFonts w:ascii="Times New Roman" w:hAnsi="Times New Roman" w:cs="Times New Roman"/>
          <w:sz w:val="24"/>
          <w:szCs w:val="24"/>
        </w:rPr>
        <w:t>Tekući prijenosi između proračunskih korisnika istog proračuna evidentirani su temeljem gotovinskog načela i manji su za 11,</w:t>
      </w:r>
      <w:r w:rsidR="00045B6A">
        <w:rPr>
          <w:rFonts w:ascii="Times New Roman" w:hAnsi="Times New Roman" w:cs="Times New Roman"/>
          <w:sz w:val="24"/>
          <w:szCs w:val="24"/>
        </w:rPr>
        <w:t>2</w:t>
      </w:r>
      <w:r w:rsidRPr="00D70FD6">
        <w:rPr>
          <w:rFonts w:ascii="Times New Roman" w:hAnsi="Times New Roman" w:cs="Times New Roman"/>
          <w:sz w:val="24"/>
          <w:szCs w:val="24"/>
        </w:rPr>
        <w:t xml:space="preserve">% u odnosu na prethodnu godinu. Iznos od 46.766 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D70FD6">
        <w:rPr>
          <w:rFonts w:ascii="Times New Roman" w:hAnsi="Times New Roman" w:cs="Times New Roman"/>
          <w:sz w:val="24"/>
          <w:szCs w:val="24"/>
        </w:rPr>
        <w:t xml:space="preserve"> sadrži prijenos sredstava od strane Sveučilišta u Rijeci za financiranje rada Studentskog zbora u iznosu od 1.555,78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D70FD6">
        <w:rPr>
          <w:rFonts w:ascii="Times New Roman" w:hAnsi="Times New Roman" w:cs="Times New Roman"/>
          <w:sz w:val="24"/>
          <w:szCs w:val="24"/>
        </w:rPr>
        <w:t xml:space="preserve">, za stimulativne znanstveno istraživačke potpore u iznosu od 7.000,00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D70FD6">
        <w:rPr>
          <w:rFonts w:ascii="Times New Roman" w:hAnsi="Times New Roman" w:cs="Times New Roman"/>
          <w:sz w:val="24"/>
          <w:szCs w:val="24"/>
        </w:rPr>
        <w:t xml:space="preserve">,  za financiranje dolazne mobilnosti profesora u iznosu od 520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D70FD6">
        <w:rPr>
          <w:rFonts w:ascii="Times New Roman" w:hAnsi="Times New Roman" w:cs="Times New Roman"/>
          <w:sz w:val="24"/>
          <w:szCs w:val="24"/>
        </w:rPr>
        <w:t xml:space="preserve"> i uplatu Hrvatske zaklade za znanost u iznosu od 37.690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D70FD6">
        <w:rPr>
          <w:rFonts w:ascii="Times New Roman" w:hAnsi="Times New Roman" w:cs="Times New Roman"/>
          <w:sz w:val="24"/>
          <w:szCs w:val="24"/>
        </w:rPr>
        <w:t xml:space="preserve"> za provođenje projekta „Računalno modeliranje iskorištavanja otpadne topline na brodovima za krstarenje“.</w:t>
      </w:r>
      <w:r w:rsidR="005B5AE4">
        <w:rPr>
          <w:rFonts w:ascii="Times New Roman" w:hAnsi="Times New Roman" w:cs="Times New Roman"/>
          <w:sz w:val="24"/>
          <w:szCs w:val="24"/>
        </w:rPr>
        <w:t xml:space="preserve"> Iz</w:t>
      </w:r>
      <w:r w:rsidR="005B5AE4" w:rsidRPr="005B5AE4">
        <w:t xml:space="preserve"> </w:t>
      </w:r>
      <w:r w:rsidR="005B5AE4" w:rsidRPr="005B5AE4">
        <w:rPr>
          <w:rFonts w:ascii="Times New Roman" w:hAnsi="Times New Roman" w:cs="Times New Roman"/>
          <w:sz w:val="24"/>
          <w:szCs w:val="24"/>
        </w:rPr>
        <w:t>aktivnosti K621061</w:t>
      </w:r>
      <w:r w:rsidR="005B5AE4">
        <w:rPr>
          <w:rFonts w:ascii="Times New Roman" w:hAnsi="Times New Roman" w:cs="Times New Roman"/>
          <w:sz w:val="24"/>
          <w:szCs w:val="24"/>
        </w:rPr>
        <w:t xml:space="preserve"> O</w:t>
      </w:r>
      <w:r w:rsidR="005B5AE4" w:rsidRPr="005B5AE4">
        <w:rPr>
          <w:rFonts w:ascii="Times New Roman" w:hAnsi="Times New Roman" w:cs="Times New Roman"/>
          <w:sz w:val="24"/>
          <w:szCs w:val="24"/>
        </w:rPr>
        <w:t>državanje</w:t>
      </w:r>
      <w:r w:rsidR="008C2166">
        <w:rPr>
          <w:rFonts w:ascii="Times New Roman" w:hAnsi="Times New Roman" w:cs="Times New Roman"/>
          <w:sz w:val="24"/>
          <w:szCs w:val="24"/>
        </w:rPr>
        <w:t xml:space="preserve"> objekata visokoobrazovnih ustanova</w:t>
      </w:r>
      <w:r w:rsidR="005B5AE4" w:rsidRPr="005B5AE4">
        <w:rPr>
          <w:rFonts w:ascii="Times New Roman" w:hAnsi="Times New Roman" w:cs="Times New Roman"/>
          <w:sz w:val="24"/>
          <w:szCs w:val="24"/>
        </w:rPr>
        <w:t xml:space="preserve"> </w:t>
      </w:r>
      <w:r w:rsidR="005B5AE4">
        <w:rPr>
          <w:rFonts w:ascii="Times New Roman" w:hAnsi="Times New Roman" w:cs="Times New Roman"/>
          <w:sz w:val="24"/>
          <w:szCs w:val="24"/>
        </w:rPr>
        <w:t>nadležno ministarstvo je unutar ovog izvora doznačilo iznos</w:t>
      </w:r>
      <w:r w:rsidR="005B5AE4" w:rsidRPr="005B5AE4">
        <w:rPr>
          <w:rFonts w:ascii="Times New Roman" w:hAnsi="Times New Roman" w:cs="Times New Roman"/>
          <w:sz w:val="24"/>
          <w:szCs w:val="24"/>
        </w:rPr>
        <w:t xml:space="preserve"> od 188.090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="005B5AE4" w:rsidRPr="005B5AE4">
        <w:rPr>
          <w:rFonts w:ascii="Times New Roman" w:hAnsi="Times New Roman" w:cs="Times New Roman"/>
          <w:sz w:val="24"/>
          <w:szCs w:val="24"/>
        </w:rPr>
        <w:t xml:space="preserve"> za nabavu opreme i održavanje GMDSS simulatora</w:t>
      </w:r>
      <w:r w:rsidR="005B5AE4">
        <w:rPr>
          <w:rFonts w:ascii="Times New Roman" w:hAnsi="Times New Roman" w:cs="Times New Roman"/>
          <w:sz w:val="24"/>
          <w:szCs w:val="24"/>
        </w:rPr>
        <w:t>.</w:t>
      </w:r>
    </w:p>
    <w:p w14:paraId="00024592" w14:textId="4B06C0F5" w:rsidR="00D70FD6" w:rsidRDefault="00D70FD6" w:rsidP="009620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FD6">
        <w:rPr>
          <w:rFonts w:ascii="Times New Roman" w:hAnsi="Times New Roman" w:cs="Times New Roman"/>
          <w:sz w:val="24"/>
          <w:szCs w:val="24"/>
        </w:rPr>
        <w:t>Tekući prijenosi između proračunskih korisnika istog proračuna temeljem prijenosa EU sredstava odnose na doznaku Sveučilišta u Rijeci za financiranje projekta MASK gdje je vodeći partner Fakultet za elektrotehniku i računarstvo uplatio Sveučilištu u Rijeci, a oni Pomorskom fakultetu iznos od 2.143</w:t>
      </w:r>
      <w:r w:rsidR="00B02835">
        <w:rPr>
          <w:rFonts w:ascii="Times New Roman" w:hAnsi="Times New Roman" w:cs="Times New Roman"/>
          <w:sz w:val="24"/>
          <w:szCs w:val="24"/>
        </w:rPr>
        <w:t xml:space="preserve"> EUR</w:t>
      </w:r>
      <w:r w:rsidRPr="00D70FD6">
        <w:rPr>
          <w:rFonts w:ascii="Times New Roman" w:hAnsi="Times New Roman" w:cs="Times New Roman"/>
          <w:sz w:val="24"/>
          <w:szCs w:val="24"/>
        </w:rPr>
        <w:t>, uplatu Sveučilišta u Rijeci u iznosu od 810</w:t>
      </w:r>
      <w:r w:rsidR="00B02835">
        <w:rPr>
          <w:rFonts w:ascii="Times New Roman" w:hAnsi="Times New Roman" w:cs="Times New Roman"/>
          <w:sz w:val="24"/>
          <w:szCs w:val="24"/>
        </w:rPr>
        <w:t xml:space="preserve"> EUR</w:t>
      </w:r>
      <w:r w:rsidRPr="00D70FD6">
        <w:rPr>
          <w:rFonts w:ascii="Times New Roman" w:hAnsi="Times New Roman" w:cs="Times New Roman"/>
          <w:sz w:val="24"/>
          <w:szCs w:val="24"/>
        </w:rPr>
        <w:t xml:space="preserve"> za Festival znanosti Blue Connect, uplatu Hrvatske zaklade za znanost za mobilnost profesora u iznosu 11.900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D70FD6">
        <w:rPr>
          <w:rFonts w:ascii="Times New Roman" w:hAnsi="Times New Roman" w:cs="Times New Roman"/>
          <w:sz w:val="24"/>
          <w:szCs w:val="24"/>
        </w:rPr>
        <w:t xml:space="preserve"> i refundacije rashoda za zaposlene u ukupnom iznosu od 80.746</w:t>
      </w:r>
      <w:r w:rsidR="00B02835">
        <w:rPr>
          <w:rFonts w:ascii="Times New Roman" w:hAnsi="Times New Roman" w:cs="Times New Roman"/>
          <w:sz w:val="24"/>
          <w:szCs w:val="24"/>
        </w:rPr>
        <w:t xml:space="preserve"> EUR</w:t>
      </w:r>
      <w:r w:rsidRPr="00D70FD6">
        <w:rPr>
          <w:rFonts w:ascii="Times New Roman" w:hAnsi="Times New Roman" w:cs="Times New Roman"/>
          <w:sz w:val="24"/>
          <w:szCs w:val="24"/>
        </w:rPr>
        <w:t xml:space="preserve"> za projekt „Razvoj karijera mladih istraživača – izobrazba novih doktora znanosti“ temeljem kojeg su zaposlena tri asistenta na Fakultetu.</w:t>
      </w:r>
    </w:p>
    <w:p w14:paraId="17041649" w14:textId="1D938987" w:rsidR="005C1261" w:rsidRDefault="00843880" w:rsidP="009E5FF3">
      <w:pPr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>PRIHODI OD DONACIJA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="005D3D4D">
        <w:rPr>
          <w:rFonts w:ascii="Times New Roman" w:hAnsi="Times New Roman" w:cs="Times New Roman"/>
          <w:sz w:val="24"/>
          <w:szCs w:val="24"/>
        </w:rPr>
        <w:t>odnose se na sredstva projekta</w:t>
      </w:r>
      <w:r w:rsidR="005C1261" w:rsidRPr="005C1261">
        <w:rPr>
          <w:rFonts w:ascii="Times New Roman" w:hAnsi="Times New Roman" w:cs="Times New Roman"/>
          <w:sz w:val="24"/>
          <w:szCs w:val="24"/>
        </w:rPr>
        <w:t xml:space="preserve"> </w:t>
      </w:r>
      <w:r w:rsidR="00D70FD6">
        <w:rPr>
          <w:rFonts w:ascii="Times New Roman" w:hAnsi="Times New Roman" w:cs="Times New Roman"/>
          <w:sz w:val="24"/>
          <w:szCs w:val="24"/>
        </w:rPr>
        <w:t>PortEMS</w:t>
      </w:r>
      <w:r w:rsidR="005C1261" w:rsidRPr="005C1261">
        <w:rPr>
          <w:rFonts w:ascii="Times New Roman" w:hAnsi="Times New Roman" w:cs="Times New Roman"/>
          <w:sz w:val="24"/>
          <w:szCs w:val="24"/>
        </w:rPr>
        <w:t xml:space="preserve">, čiji je vodeći partner </w:t>
      </w:r>
      <w:r w:rsidR="00D70FD6">
        <w:rPr>
          <w:rFonts w:ascii="Times New Roman" w:hAnsi="Times New Roman" w:cs="Times New Roman"/>
          <w:sz w:val="24"/>
          <w:szCs w:val="24"/>
        </w:rPr>
        <w:t>Jatro</w:t>
      </w:r>
      <w:r w:rsidR="005C1261" w:rsidRPr="005C1261">
        <w:rPr>
          <w:rFonts w:ascii="Times New Roman" w:hAnsi="Times New Roman" w:cs="Times New Roman"/>
          <w:sz w:val="24"/>
          <w:szCs w:val="24"/>
        </w:rPr>
        <w:t xml:space="preserve"> d.o.o. doznačio sredstva temeljem posljednjeg zahtjev</w:t>
      </w:r>
      <w:r w:rsidR="005C1261">
        <w:rPr>
          <w:rFonts w:ascii="Times New Roman" w:hAnsi="Times New Roman" w:cs="Times New Roman"/>
          <w:sz w:val="24"/>
          <w:szCs w:val="24"/>
        </w:rPr>
        <w:t>a</w:t>
      </w:r>
      <w:r w:rsidR="005C1261" w:rsidRPr="005C1261">
        <w:rPr>
          <w:rFonts w:ascii="Times New Roman" w:hAnsi="Times New Roman" w:cs="Times New Roman"/>
          <w:sz w:val="24"/>
          <w:szCs w:val="24"/>
        </w:rPr>
        <w:t xml:space="preserve"> za nadoknadu sredstava u iznosu  od </w:t>
      </w:r>
      <w:r w:rsidR="00B5682C">
        <w:rPr>
          <w:rFonts w:ascii="Times New Roman" w:hAnsi="Times New Roman" w:cs="Times New Roman"/>
          <w:sz w:val="24"/>
          <w:szCs w:val="24"/>
        </w:rPr>
        <w:t>89.447</w:t>
      </w:r>
      <w:r w:rsidR="005C1261">
        <w:rPr>
          <w:rFonts w:ascii="Times New Roman" w:hAnsi="Times New Roman" w:cs="Times New Roman"/>
          <w:sz w:val="24"/>
          <w:szCs w:val="24"/>
        </w:rPr>
        <w:t xml:space="preserve"> EUR</w:t>
      </w:r>
      <w:r w:rsidR="005D3D4D">
        <w:rPr>
          <w:rFonts w:ascii="Times New Roman" w:hAnsi="Times New Roman" w:cs="Times New Roman"/>
          <w:sz w:val="24"/>
          <w:szCs w:val="24"/>
        </w:rPr>
        <w:t xml:space="preserve"> u 202</w:t>
      </w:r>
      <w:r w:rsidR="00B5682C">
        <w:rPr>
          <w:rFonts w:ascii="Times New Roman" w:hAnsi="Times New Roman" w:cs="Times New Roman"/>
          <w:sz w:val="24"/>
          <w:szCs w:val="24"/>
        </w:rPr>
        <w:t>5</w:t>
      </w:r>
      <w:r w:rsidR="005D3D4D">
        <w:rPr>
          <w:rFonts w:ascii="Times New Roman" w:hAnsi="Times New Roman" w:cs="Times New Roman"/>
          <w:sz w:val="24"/>
          <w:szCs w:val="24"/>
        </w:rPr>
        <w:t>. godini</w:t>
      </w:r>
      <w:r w:rsidR="005C1261" w:rsidRPr="005C1261">
        <w:rPr>
          <w:rFonts w:ascii="Times New Roman" w:hAnsi="Times New Roman" w:cs="Times New Roman"/>
          <w:sz w:val="24"/>
          <w:szCs w:val="24"/>
        </w:rPr>
        <w:t xml:space="preserve"> , </w:t>
      </w:r>
      <w:r w:rsidR="00B5682C" w:rsidRPr="00B5682C">
        <w:rPr>
          <w:rFonts w:ascii="Times New Roman" w:hAnsi="Times New Roman" w:cs="Times New Roman"/>
          <w:sz w:val="24"/>
          <w:szCs w:val="24"/>
        </w:rPr>
        <w:t xml:space="preserve">dok se iznos od 3.125,00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="00B5682C" w:rsidRPr="00B5682C">
        <w:rPr>
          <w:rFonts w:ascii="Times New Roman" w:hAnsi="Times New Roman" w:cs="Times New Roman"/>
          <w:sz w:val="24"/>
          <w:szCs w:val="24"/>
        </w:rPr>
        <w:t xml:space="preserve"> odnosi na donaciju  trgovačkog društava  CMA Hrvatska d.o.o. za nabavu licence</w:t>
      </w:r>
      <w:r w:rsidR="005D3D4D">
        <w:rPr>
          <w:rFonts w:ascii="Times New Roman" w:hAnsi="Times New Roman" w:cs="Times New Roman"/>
          <w:sz w:val="24"/>
          <w:szCs w:val="24"/>
        </w:rPr>
        <w:t>.</w:t>
      </w:r>
    </w:p>
    <w:p w14:paraId="79D5529C" w14:textId="61590925" w:rsidR="004518C9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 xml:space="preserve">PRIHODI OD PRODAJE NEFINANCIJSKE IMOVINE </w:t>
      </w:r>
      <w:r w:rsidR="002F7B64"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2F7B64" w:rsidRPr="002F7B64">
        <w:rPr>
          <w:rFonts w:ascii="Times New Roman" w:hAnsi="Times New Roman" w:cs="Times New Roman"/>
          <w:bCs/>
          <w:sz w:val="24"/>
          <w:szCs w:val="24"/>
        </w:rPr>
        <w:t>1.383 EUR</w:t>
      </w:r>
      <w:r w:rsidR="002F7B64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2F7B64">
        <w:rPr>
          <w:rFonts w:ascii="Times New Roman" w:hAnsi="Times New Roman" w:cs="Times New Roman"/>
          <w:bCs/>
          <w:sz w:val="24"/>
          <w:szCs w:val="24"/>
        </w:rPr>
        <w:t>odnose</w:t>
      </w:r>
      <w:r w:rsidRPr="00843880">
        <w:rPr>
          <w:rFonts w:ascii="Times New Roman" w:hAnsi="Times New Roman" w:cs="Times New Roman"/>
          <w:sz w:val="24"/>
          <w:szCs w:val="24"/>
        </w:rPr>
        <w:t xml:space="preserve"> se na </w:t>
      </w:r>
      <w:r w:rsidR="002F7B64">
        <w:rPr>
          <w:rFonts w:ascii="Times New Roman" w:hAnsi="Times New Roman" w:cs="Times New Roman"/>
          <w:sz w:val="24"/>
          <w:szCs w:val="24"/>
        </w:rPr>
        <w:t xml:space="preserve">prihode od </w:t>
      </w:r>
      <w:r w:rsidRPr="00843880">
        <w:rPr>
          <w:rFonts w:ascii="Times New Roman" w:hAnsi="Times New Roman" w:cs="Times New Roman"/>
          <w:sz w:val="24"/>
          <w:szCs w:val="24"/>
        </w:rPr>
        <w:t>prodaj</w:t>
      </w:r>
      <w:r w:rsidR="002F7B64">
        <w:rPr>
          <w:rFonts w:ascii="Times New Roman" w:hAnsi="Times New Roman" w:cs="Times New Roman"/>
          <w:sz w:val="24"/>
          <w:szCs w:val="24"/>
        </w:rPr>
        <w:t>e</w:t>
      </w:r>
      <w:r w:rsidRPr="00843880">
        <w:rPr>
          <w:rFonts w:ascii="Times New Roman" w:hAnsi="Times New Roman" w:cs="Times New Roman"/>
          <w:sz w:val="24"/>
          <w:szCs w:val="24"/>
        </w:rPr>
        <w:t xml:space="preserve"> stanova na kojima postoji stanarsko pravo</w:t>
      </w:r>
      <w:r w:rsidR="002F7B64">
        <w:rPr>
          <w:rFonts w:ascii="Times New Roman" w:hAnsi="Times New Roman" w:cs="Times New Roman"/>
          <w:sz w:val="24"/>
          <w:szCs w:val="24"/>
        </w:rPr>
        <w:t xml:space="preserve"> i prihode od naknade štete od refundacija osiguravajućih društava. 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27434142"/>
    </w:p>
    <w:bookmarkEnd w:id="2"/>
    <w:p w14:paraId="07CF263B" w14:textId="77777777" w:rsidR="003E6546" w:rsidRDefault="003E6546" w:rsidP="003E65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75CB0" w14:textId="77777777" w:rsidR="00F27F03" w:rsidRDefault="00F27F03" w:rsidP="003E65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474E63" w14:textId="77777777" w:rsidR="00F27F03" w:rsidRDefault="00F27F03" w:rsidP="003E65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A6D24" w14:textId="77777777" w:rsidR="00843880" w:rsidRPr="00843880" w:rsidRDefault="00843880" w:rsidP="003E65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="003E6546">
        <w:rPr>
          <w:rFonts w:ascii="Times New Roman" w:hAnsi="Times New Roman" w:cs="Times New Roman"/>
          <w:b/>
          <w:sz w:val="24"/>
          <w:szCs w:val="24"/>
        </w:rPr>
        <w:t>.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RASHODI</w:t>
      </w:r>
    </w:p>
    <w:p w14:paraId="1239D167" w14:textId="354CE827" w:rsidR="00843880" w:rsidRPr="00843880" w:rsidRDefault="00843880" w:rsidP="0059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>Ukupni rashodi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b/>
          <w:sz w:val="24"/>
          <w:szCs w:val="24"/>
        </w:rPr>
        <w:t>u 202</w:t>
      </w:r>
      <w:r w:rsidR="00D70FD6">
        <w:rPr>
          <w:rFonts w:ascii="Times New Roman" w:hAnsi="Times New Roman" w:cs="Times New Roman"/>
          <w:b/>
          <w:sz w:val="24"/>
          <w:szCs w:val="24"/>
        </w:rPr>
        <w:t>5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. godini izvršeni su u iznosu od </w:t>
      </w:r>
      <w:r w:rsidR="00F27F03">
        <w:rPr>
          <w:rFonts w:ascii="Times New Roman" w:hAnsi="Times New Roman" w:cs="Times New Roman"/>
          <w:b/>
          <w:sz w:val="24"/>
          <w:szCs w:val="24"/>
        </w:rPr>
        <w:t>8.131.67</w:t>
      </w:r>
      <w:r w:rsidR="00045B6A">
        <w:rPr>
          <w:rFonts w:ascii="Times New Roman" w:hAnsi="Times New Roman" w:cs="Times New Roman"/>
          <w:b/>
          <w:sz w:val="24"/>
          <w:szCs w:val="24"/>
        </w:rPr>
        <w:t>1</w:t>
      </w:r>
      <w:r w:rsidR="005C1261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5C1261">
        <w:rPr>
          <w:rFonts w:ascii="Times New Roman" w:hAnsi="Times New Roman" w:cs="Times New Roman"/>
          <w:b/>
          <w:sz w:val="24"/>
          <w:szCs w:val="24"/>
        </w:rPr>
        <w:t>čine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ih: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30F4B" w14:textId="6FABD35F" w:rsidR="00843880" w:rsidRPr="00843880" w:rsidRDefault="00843880" w:rsidP="005934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 xml:space="preserve">rashodi poslovanja u iznosu od </w:t>
      </w:r>
      <w:r w:rsidR="00F27F03">
        <w:rPr>
          <w:rFonts w:ascii="Times New Roman" w:hAnsi="Times New Roman" w:cs="Times New Roman"/>
          <w:b/>
          <w:sz w:val="24"/>
          <w:szCs w:val="24"/>
        </w:rPr>
        <w:t>7.873.31</w:t>
      </w:r>
      <w:r w:rsidR="00045B6A">
        <w:rPr>
          <w:rFonts w:ascii="Times New Roman" w:hAnsi="Times New Roman" w:cs="Times New Roman"/>
          <w:b/>
          <w:sz w:val="24"/>
          <w:szCs w:val="24"/>
        </w:rPr>
        <w:t>1</w:t>
      </w:r>
      <w:r w:rsidR="005C1261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i </w:t>
      </w:r>
    </w:p>
    <w:p w14:paraId="0F0E96E7" w14:textId="26FA2F09" w:rsidR="00843880" w:rsidRPr="00843880" w:rsidRDefault="00843880" w:rsidP="005934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 xml:space="preserve">rashodi za nabavu dugotrajne nefinancijske imovine u iznosu od </w:t>
      </w:r>
      <w:r w:rsidR="00F27F03">
        <w:rPr>
          <w:rFonts w:ascii="Times New Roman" w:hAnsi="Times New Roman" w:cs="Times New Roman"/>
          <w:b/>
          <w:sz w:val="24"/>
          <w:szCs w:val="24"/>
        </w:rPr>
        <w:t>258.3</w:t>
      </w:r>
      <w:r w:rsidR="00045B6A">
        <w:rPr>
          <w:rFonts w:ascii="Times New Roman" w:hAnsi="Times New Roman" w:cs="Times New Roman"/>
          <w:b/>
          <w:sz w:val="24"/>
          <w:szCs w:val="24"/>
        </w:rPr>
        <w:t xml:space="preserve">59 </w:t>
      </w:r>
      <w:r w:rsidR="005C1261">
        <w:rPr>
          <w:rFonts w:ascii="Times New Roman" w:hAnsi="Times New Roman" w:cs="Times New Roman"/>
          <w:b/>
          <w:sz w:val="24"/>
          <w:szCs w:val="24"/>
        </w:rPr>
        <w:t>EUR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DBFC98D" w14:textId="77777777"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3F174" w14:textId="77777777"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>RASHODI POSLOVANJA</w:t>
      </w:r>
    </w:p>
    <w:p w14:paraId="0972B0B5" w14:textId="004F09D8" w:rsidR="007A4C09" w:rsidRPr="007A4C09" w:rsidRDefault="005934DF" w:rsidP="007A4C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Rashodi za zaposlene</w:t>
      </w:r>
      <w:r w:rsidRPr="005934DF">
        <w:rPr>
          <w:rFonts w:ascii="Times New Roman" w:hAnsi="Times New Roman" w:cs="Times New Roman"/>
          <w:sz w:val="24"/>
          <w:szCs w:val="24"/>
        </w:rPr>
        <w:t xml:space="preserve"> iznose </w:t>
      </w:r>
      <w:r w:rsidR="00602ED9">
        <w:rPr>
          <w:rFonts w:ascii="Times New Roman" w:hAnsi="Times New Roman" w:cs="Times New Roman"/>
          <w:sz w:val="24"/>
          <w:szCs w:val="24"/>
        </w:rPr>
        <w:t>5.</w:t>
      </w:r>
      <w:r w:rsidR="00F27F03">
        <w:rPr>
          <w:rFonts w:ascii="Times New Roman" w:hAnsi="Times New Roman" w:cs="Times New Roman"/>
          <w:sz w:val="24"/>
          <w:szCs w:val="24"/>
        </w:rPr>
        <w:t>640.844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F27F03">
        <w:rPr>
          <w:rFonts w:ascii="Times New Roman" w:hAnsi="Times New Roman" w:cs="Times New Roman"/>
          <w:sz w:val="24"/>
          <w:szCs w:val="24"/>
        </w:rPr>
        <w:t>izvršeni su u skladu s planiranim.</w:t>
      </w:r>
      <w:r w:rsidR="000B2FE9">
        <w:rPr>
          <w:rFonts w:ascii="Times New Roman" w:hAnsi="Times New Roman" w:cs="Times New Roman"/>
          <w:sz w:val="24"/>
          <w:szCs w:val="24"/>
        </w:rPr>
        <w:t xml:space="preserve"> Rashodi su veći u odnosu na prethodnu godinu zbog povećanja osnovice za izračun plaće u 2025. godini u odnosu na 2024. kao i zbog većeg broja zaposlenih. </w:t>
      </w:r>
      <w:r w:rsidR="007A4C09" w:rsidRPr="007A4C09">
        <w:rPr>
          <w:rFonts w:ascii="Times New Roman" w:hAnsi="Times New Roman" w:cs="Times New Roman"/>
          <w:sz w:val="24"/>
          <w:szCs w:val="24"/>
        </w:rPr>
        <w:t xml:space="preserve">U iskazanom iznosu sadržane su bruto plaće zaposlenika Fakulteta na teret državnog proračuna kao i zaposlenika na teret vlastitih sredstava i sredstava EU projekata, uključujući stimulacije plaća temeljem Pravilnika o plaćama i drugim primanjima Fakulteta, te  dodaci na plaću za djelatnike koji drže predavanja na programima i tečajevima izobrazbe za pomorce. </w:t>
      </w:r>
    </w:p>
    <w:p w14:paraId="0FF1C0C3" w14:textId="6AC63968" w:rsidR="005934DF" w:rsidRPr="005934DF" w:rsidRDefault="005934DF" w:rsidP="005934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Plaće u naravi</w:t>
      </w:r>
      <w:r w:rsidRPr="005934DF">
        <w:rPr>
          <w:rFonts w:ascii="Times New Roman" w:hAnsi="Times New Roman" w:cs="Times New Roman"/>
          <w:sz w:val="24"/>
          <w:szCs w:val="24"/>
        </w:rPr>
        <w:t xml:space="preserve"> odnose se </w:t>
      </w:r>
      <w:r w:rsidR="009E5FF3">
        <w:rPr>
          <w:rFonts w:ascii="Times New Roman" w:hAnsi="Times New Roman" w:cs="Times New Roman"/>
          <w:sz w:val="24"/>
          <w:szCs w:val="24"/>
        </w:rPr>
        <w:t xml:space="preserve">na putna </w:t>
      </w:r>
      <w:r w:rsidRPr="005934DF">
        <w:rPr>
          <w:rFonts w:ascii="Times New Roman" w:hAnsi="Times New Roman" w:cs="Times New Roman"/>
          <w:sz w:val="24"/>
          <w:szCs w:val="24"/>
        </w:rPr>
        <w:t xml:space="preserve">osiguranja </w:t>
      </w:r>
      <w:r w:rsidR="009E5FF3">
        <w:rPr>
          <w:rFonts w:ascii="Times New Roman" w:hAnsi="Times New Roman" w:cs="Times New Roman"/>
          <w:sz w:val="24"/>
          <w:szCs w:val="24"/>
        </w:rPr>
        <w:t xml:space="preserve">i </w:t>
      </w:r>
      <w:r w:rsidR="009E5FF3" w:rsidRPr="005934DF">
        <w:rPr>
          <w:rFonts w:ascii="Times New Roman" w:hAnsi="Times New Roman" w:cs="Times New Roman"/>
          <w:sz w:val="24"/>
          <w:szCs w:val="24"/>
        </w:rPr>
        <w:t xml:space="preserve">članarine </w:t>
      </w:r>
      <w:r w:rsidRPr="005934DF">
        <w:rPr>
          <w:rFonts w:ascii="Times New Roman" w:hAnsi="Times New Roman" w:cs="Times New Roman"/>
          <w:sz w:val="24"/>
          <w:szCs w:val="24"/>
        </w:rPr>
        <w:t xml:space="preserve">plaćene za nastavno osoblje za članstvo u pojedinim u strukovnim udruženjima na koje su </w:t>
      </w:r>
      <w:r w:rsidR="009E5FF3">
        <w:rPr>
          <w:rFonts w:ascii="Times New Roman" w:hAnsi="Times New Roman" w:cs="Times New Roman"/>
          <w:sz w:val="24"/>
          <w:szCs w:val="24"/>
        </w:rPr>
        <w:t>obračunati</w:t>
      </w:r>
      <w:r w:rsidRPr="005934DF">
        <w:rPr>
          <w:rFonts w:ascii="Times New Roman" w:hAnsi="Times New Roman" w:cs="Times New Roman"/>
          <w:sz w:val="24"/>
          <w:szCs w:val="24"/>
        </w:rPr>
        <w:t xml:space="preserve"> pripadajući porezi i doprinosi, a sve u ukupnom iznosu od </w:t>
      </w:r>
      <w:r w:rsidR="00F27F03">
        <w:rPr>
          <w:rFonts w:ascii="Times New Roman" w:hAnsi="Times New Roman" w:cs="Times New Roman"/>
          <w:sz w:val="24"/>
          <w:szCs w:val="24"/>
        </w:rPr>
        <w:t>3.056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7CAFE0" w14:textId="71F57F58" w:rsidR="007A4C09" w:rsidRDefault="005934DF" w:rsidP="007A4C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Naknade troškova zaposlenima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F27F03">
        <w:rPr>
          <w:rFonts w:ascii="Times New Roman" w:hAnsi="Times New Roman" w:cs="Times New Roman"/>
          <w:sz w:val="24"/>
          <w:szCs w:val="24"/>
        </w:rPr>
        <w:t xml:space="preserve">manje su za </w:t>
      </w:r>
      <w:r w:rsidR="00045B6A">
        <w:rPr>
          <w:rFonts w:ascii="Times New Roman" w:hAnsi="Times New Roman" w:cs="Times New Roman"/>
          <w:sz w:val="24"/>
          <w:szCs w:val="24"/>
        </w:rPr>
        <w:t>8,57</w:t>
      </w:r>
      <w:r w:rsidR="00F27F03">
        <w:rPr>
          <w:rFonts w:ascii="Times New Roman" w:hAnsi="Times New Roman" w:cs="Times New Roman"/>
          <w:sz w:val="24"/>
          <w:szCs w:val="24"/>
        </w:rPr>
        <w:t>%</w:t>
      </w:r>
      <w:r w:rsidRPr="005934DF">
        <w:rPr>
          <w:rFonts w:ascii="Times New Roman" w:hAnsi="Times New Roman" w:cs="Times New Roman"/>
          <w:sz w:val="24"/>
          <w:szCs w:val="24"/>
        </w:rPr>
        <w:t xml:space="preserve"> i iznose </w:t>
      </w:r>
      <w:r w:rsidR="00F27F03">
        <w:rPr>
          <w:rFonts w:ascii="Times New Roman" w:hAnsi="Times New Roman" w:cs="Times New Roman"/>
          <w:sz w:val="24"/>
          <w:szCs w:val="24"/>
        </w:rPr>
        <w:t>279.891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. </w:t>
      </w:r>
      <w:r w:rsidR="000B2FE9" w:rsidRPr="000B2FE9">
        <w:rPr>
          <w:rFonts w:ascii="Times New Roman" w:hAnsi="Times New Roman" w:cs="Times New Roman"/>
          <w:sz w:val="24"/>
          <w:szCs w:val="24"/>
        </w:rPr>
        <w:t>Dok su naknade za prijevoz povećanje zbog povećanja cijena prijevoza i većeg broja zaposlenih, a izdaci za službena putovanja smanjili su</w:t>
      </w:r>
      <w:r w:rsid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045B6A">
        <w:rPr>
          <w:rFonts w:ascii="Times New Roman" w:hAnsi="Times New Roman" w:cs="Times New Roman"/>
          <w:sz w:val="24"/>
          <w:szCs w:val="24"/>
        </w:rPr>
        <w:t>s</w:t>
      </w:r>
      <w:r w:rsidR="000B2FE9">
        <w:rPr>
          <w:rFonts w:ascii="Times New Roman" w:hAnsi="Times New Roman" w:cs="Times New Roman"/>
          <w:sz w:val="24"/>
          <w:szCs w:val="24"/>
        </w:rPr>
        <w:t xml:space="preserve">e i iznose 178.266 EUR </w:t>
      </w:r>
      <w:r w:rsidR="000B2FE9" w:rsidRPr="000B2FE9">
        <w:rPr>
          <w:rFonts w:ascii="Times New Roman" w:hAnsi="Times New Roman" w:cs="Times New Roman"/>
          <w:sz w:val="24"/>
          <w:szCs w:val="24"/>
        </w:rPr>
        <w:t xml:space="preserve">zbog </w:t>
      </w:r>
      <w:r w:rsidR="000B2FE9">
        <w:rPr>
          <w:rFonts w:ascii="Times New Roman" w:hAnsi="Times New Roman" w:cs="Times New Roman"/>
          <w:sz w:val="24"/>
          <w:szCs w:val="24"/>
        </w:rPr>
        <w:t>pohađanja</w:t>
      </w:r>
      <w:r w:rsidR="000B2FE9" w:rsidRP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0B2FE9">
        <w:rPr>
          <w:rFonts w:ascii="Times New Roman" w:hAnsi="Times New Roman" w:cs="Times New Roman"/>
          <w:sz w:val="24"/>
          <w:szCs w:val="24"/>
        </w:rPr>
        <w:t xml:space="preserve">IAMU </w:t>
      </w:r>
      <w:r w:rsidR="000B2FE9" w:rsidRPr="000B2FE9">
        <w:rPr>
          <w:rFonts w:ascii="Times New Roman" w:hAnsi="Times New Roman" w:cs="Times New Roman"/>
          <w:sz w:val="24"/>
          <w:szCs w:val="24"/>
        </w:rPr>
        <w:t>konferencij</w:t>
      </w:r>
      <w:r w:rsidR="000B2FE9">
        <w:rPr>
          <w:rFonts w:ascii="Times New Roman" w:hAnsi="Times New Roman" w:cs="Times New Roman"/>
          <w:sz w:val="24"/>
          <w:szCs w:val="24"/>
        </w:rPr>
        <w:t>e</w:t>
      </w:r>
      <w:r w:rsidR="000B2FE9" w:rsidRPr="000B2FE9">
        <w:rPr>
          <w:rFonts w:ascii="Times New Roman" w:hAnsi="Times New Roman" w:cs="Times New Roman"/>
          <w:sz w:val="24"/>
          <w:szCs w:val="24"/>
        </w:rPr>
        <w:t xml:space="preserve"> u </w:t>
      </w:r>
      <w:r w:rsidR="000B2FE9">
        <w:rPr>
          <w:rFonts w:ascii="Times New Roman" w:hAnsi="Times New Roman" w:cs="Times New Roman"/>
          <w:sz w:val="24"/>
          <w:szCs w:val="24"/>
        </w:rPr>
        <w:t xml:space="preserve">Bostonu, SAD </w:t>
      </w:r>
      <w:r w:rsidR="000B2FE9" w:rsidRPr="000B2FE9">
        <w:rPr>
          <w:rFonts w:ascii="Times New Roman" w:hAnsi="Times New Roman" w:cs="Times New Roman"/>
          <w:sz w:val="24"/>
          <w:szCs w:val="24"/>
        </w:rPr>
        <w:t>tijekom 2024. godine</w:t>
      </w:r>
      <w:r w:rsidR="000B2FE9">
        <w:rPr>
          <w:rFonts w:ascii="Times New Roman" w:hAnsi="Times New Roman" w:cs="Times New Roman"/>
          <w:sz w:val="24"/>
          <w:szCs w:val="24"/>
        </w:rPr>
        <w:t>.</w:t>
      </w:r>
    </w:p>
    <w:p w14:paraId="2E015EF4" w14:textId="51B8BE41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E9">
        <w:rPr>
          <w:rFonts w:ascii="Times New Roman" w:hAnsi="Times New Roman" w:cs="Times New Roman"/>
          <w:b/>
          <w:bCs/>
          <w:sz w:val="24"/>
          <w:szCs w:val="24"/>
        </w:rPr>
        <w:t>Rashodi za materijal i energiju</w:t>
      </w:r>
      <w:r w:rsidRPr="000B2FE9">
        <w:rPr>
          <w:rFonts w:ascii="Times New Roman" w:hAnsi="Times New Roman" w:cs="Times New Roman"/>
          <w:sz w:val="24"/>
          <w:szCs w:val="24"/>
        </w:rPr>
        <w:t xml:space="preserve"> ukupno iznose </w:t>
      </w:r>
      <w:r>
        <w:rPr>
          <w:rFonts w:ascii="Times New Roman" w:hAnsi="Times New Roman" w:cs="Times New Roman"/>
          <w:sz w:val="24"/>
          <w:szCs w:val="24"/>
        </w:rPr>
        <w:t>141.030</w:t>
      </w:r>
      <w:r w:rsidRP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izvršeni su u približno istom iznosu kao i prethodne godine.</w:t>
      </w:r>
      <w:r w:rsidRPr="000B2FE9">
        <w:rPr>
          <w:rFonts w:ascii="Times New Roman" w:hAnsi="Times New Roman" w:cs="Times New Roman"/>
          <w:sz w:val="24"/>
          <w:szCs w:val="24"/>
        </w:rPr>
        <w:t xml:space="preserve"> Najveće smanjenje ostvareno je na rashodima za materijal za tekuće i investicijsko održavanje jer se nabava materijala u otvorenom postupku javne nabave realizirala u siječnju 2026. godine.  Veći rashodi za službenu i radnu odjeću, odnose se na evidentiranje suhih ronilačkih odijela za provođenje znanstveno istraživačkog projekta na Fakultetu.   </w:t>
      </w:r>
    </w:p>
    <w:p w14:paraId="6780BFD8" w14:textId="70A5D32E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E9">
        <w:rPr>
          <w:rFonts w:ascii="Times New Roman" w:hAnsi="Times New Roman" w:cs="Times New Roman"/>
          <w:b/>
          <w:bCs/>
          <w:sz w:val="24"/>
          <w:szCs w:val="24"/>
        </w:rPr>
        <w:t>Rashodi za usluge</w:t>
      </w:r>
      <w:r w:rsidRPr="000B2FE9">
        <w:rPr>
          <w:rFonts w:ascii="Times New Roman" w:hAnsi="Times New Roman" w:cs="Times New Roman"/>
          <w:sz w:val="24"/>
          <w:szCs w:val="24"/>
        </w:rPr>
        <w:t xml:space="preserve"> izvršeni su u ukupnom iznosu od 1.</w:t>
      </w:r>
      <w:r>
        <w:rPr>
          <w:rFonts w:ascii="Times New Roman" w:hAnsi="Times New Roman" w:cs="Times New Roman"/>
          <w:sz w:val="24"/>
          <w:szCs w:val="24"/>
        </w:rPr>
        <w:t>012.902</w:t>
      </w:r>
      <w:r w:rsidR="00B02835">
        <w:rPr>
          <w:rFonts w:ascii="Times New Roman" w:hAnsi="Times New Roman" w:cs="Times New Roman"/>
          <w:sz w:val="24"/>
          <w:szCs w:val="24"/>
        </w:rPr>
        <w:t xml:space="preserve"> 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 i povećani su za 10</w:t>
      </w:r>
      <w:r>
        <w:rPr>
          <w:rFonts w:ascii="Times New Roman" w:hAnsi="Times New Roman" w:cs="Times New Roman"/>
          <w:sz w:val="24"/>
          <w:szCs w:val="24"/>
        </w:rPr>
        <w:t>,21</w:t>
      </w:r>
      <w:r w:rsidRPr="000B2FE9">
        <w:rPr>
          <w:rFonts w:ascii="Times New Roman" w:hAnsi="Times New Roman" w:cs="Times New Roman"/>
          <w:sz w:val="24"/>
          <w:szCs w:val="24"/>
        </w:rPr>
        <w:t xml:space="preserve">%   u odnosu na prethodnu godinu. Povećani rashodi za zdravstvene i veterinarske usluge osim preventivnog sistematskog pregleda za zaposlenike obuhvaćaju i obvezne preglede za studente kojima je to ove godine bio uvjet za obavljanje stručne prakse. </w:t>
      </w:r>
    </w:p>
    <w:p w14:paraId="1656451B" w14:textId="15117E16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E9">
        <w:rPr>
          <w:rFonts w:ascii="Times New Roman" w:hAnsi="Times New Roman" w:cs="Times New Roman"/>
          <w:sz w:val="24"/>
          <w:szCs w:val="24"/>
        </w:rPr>
        <w:t xml:space="preserve">Troškovi zakupnina i najamnina veći su za </w:t>
      </w:r>
      <w:r w:rsidR="00045B6A">
        <w:rPr>
          <w:rFonts w:ascii="Times New Roman" w:hAnsi="Times New Roman" w:cs="Times New Roman"/>
          <w:sz w:val="24"/>
          <w:szCs w:val="24"/>
        </w:rPr>
        <w:t>4,33</w:t>
      </w:r>
      <w:r w:rsidRPr="000B2FE9">
        <w:rPr>
          <w:rFonts w:ascii="Times New Roman" w:hAnsi="Times New Roman" w:cs="Times New Roman"/>
          <w:sz w:val="24"/>
          <w:szCs w:val="24"/>
        </w:rPr>
        <w:t xml:space="preserve">% a odnose se na licence za razne programe za  nastavu i cjeloživotno obrazovanje u iznosu od </w:t>
      </w:r>
      <w:r w:rsidR="0095545C">
        <w:rPr>
          <w:rFonts w:ascii="Times New Roman" w:hAnsi="Times New Roman" w:cs="Times New Roman"/>
          <w:sz w:val="24"/>
          <w:szCs w:val="24"/>
        </w:rPr>
        <w:t>41.657</w:t>
      </w:r>
      <w:r w:rsidR="00B02835">
        <w:rPr>
          <w:rFonts w:ascii="Times New Roman" w:hAnsi="Times New Roman" w:cs="Times New Roman"/>
          <w:sz w:val="24"/>
          <w:szCs w:val="24"/>
        </w:rPr>
        <w:t xml:space="preserve"> 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, zakup prostora edukativne radionice Torpedo u iznosu od 41.381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, zakup fotokopirnih  uređaja i ostale opreme u iznosu od </w:t>
      </w:r>
      <w:r w:rsidR="0095545C">
        <w:rPr>
          <w:rFonts w:ascii="Times New Roman" w:hAnsi="Times New Roman" w:cs="Times New Roman"/>
          <w:sz w:val="24"/>
          <w:szCs w:val="24"/>
        </w:rPr>
        <w:t>22.421</w:t>
      </w:r>
      <w:r w:rsidR="00B02835">
        <w:rPr>
          <w:rFonts w:ascii="Times New Roman" w:hAnsi="Times New Roman" w:cs="Times New Roman"/>
          <w:sz w:val="24"/>
          <w:szCs w:val="24"/>
        </w:rPr>
        <w:t xml:space="preserve"> 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,  zakup prostora za depozit arhivske građe i najam servera u iznosu od </w:t>
      </w:r>
      <w:r w:rsidR="00632007">
        <w:rPr>
          <w:rFonts w:ascii="Times New Roman" w:hAnsi="Times New Roman" w:cs="Times New Roman"/>
          <w:sz w:val="24"/>
          <w:szCs w:val="24"/>
        </w:rPr>
        <w:t>11.910</w:t>
      </w:r>
      <w:r w:rsidRP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, zakup vatrogasnog poligona za održavanje tečajeva u iznosu od </w:t>
      </w:r>
      <w:r w:rsidR="00632007">
        <w:rPr>
          <w:rFonts w:ascii="Times New Roman" w:hAnsi="Times New Roman" w:cs="Times New Roman"/>
          <w:sz w:val="24"/>
          <w:szCs w:val="24"/>
        </w:rPr>
        <w:t>9.378</w:t>
      </w:r>
      <w:r w:rsidRP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 i zakup plovila u iznosu od </w:t>
      </w:r>
      <w:r w:rsidR="00632007">
        <w:rPr>
          <w:rFonts w:ascii="Times New Roman" w:hAnsi="Times New Roman" w:cs="Times New Roman"/>
          <w:sz w:val="24"/>
          <w:szCs w:val="24"/>
        </w:rPr>
        <w:t>19.633</w:t>
      </w:r>
      <w:r w:rsidRP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sz w:val="24"/>
          <w:szCs w:val="24"/>
        </w:rPr>
        <w:t xml:space="preserve">EUR </w:t>
      </w:r>
      <w:r w:rsidRPr="000B2FE9">
        <w:rPr>
          <w:rFonts w:ascii="Times New Roman" w:hAnsi="Times New Roman" w:cs="Times New Roman"/>
          <w:sz w:val="24"/>
          <w:szCs w:val="24"/>
        </w:rPr>
        <w:t xml:space="preserve">za održavanje plovidbene i stručne prakse. </w:t>
      </w:r>
    </w:p>
    <w:p w14:paraId="22B88C3F" w14:textId="15C3CF74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E9">
        <w:rPr>
          <w:rFonts w:ascii="Times New Roman" w:hAnsi="Times New Roman" w:cs="Times New Roman"/>
          <w:sz w:val="24"/>
          <w:szCs w:val="24"/>
        </w:rPr>
        <w:t xml:space="preserve">U strukturi rashoda za usluge vrijednosno su najveći rashodi za intelektualne i osobne usluge u iznosu od </w:t>
      </w:r>
      <w:r w:rsidR="00632007">
        <w:rPr>
          <w:rFonts w:ascii="Times New Roman" w:hAnsi="Times New Roman" w:cs="Times New Roman"/>
          <w:sz w:val="24"/>
          <w:szCs w:val="24"/>
        </w:rPr>
        <w:t>620.453</w:t>
      </w:r>
      <w:r w:rsidRP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 među kojima su najznačajniji izdaci za autorske honor</w:t>
      </w:r>
      <w:r w:rsidR="00632007">
        <w:rPr>
          <w:rFonts w:ascii="Times New Roman" w:hAnsi="Times New Roman" w:cs="Times New Roman"/>
          <w:sz w:val="24"/>
          <w:szCs w:val="24"/>
        </w:rPr>
        <w:t xml:space="preserve">are </w:t>
      </w:r>
      <w:r w:rsidRPr="000B2FE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32007">
        <w:rPr>
          <w:rFonts w:ascii="Times New Roman" w:hAnsi="Times New Roman" w:cs="Times New Roman"/>
          <w:sz w:val="24"/>
          <w:szCs w:val="24"/>
        </w:rPr>
        <w:t>290.593</w:t>
      </w:r>
      <w:r w:rsidRP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, ugovori o djelu temeljem vanjske suradnje u nastavi u iznosu od 48.240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, ugovori s vanjskim suradnicima za održavanje tečajeva za pomorce u iznosu od </w:t>
      </w:r>
      <w:r w:rsidR="00632007">
        <w:rPr>
          <w:rFonts w:ascii="Times New Roman" w:hAnsi="Times New Roman" w:cs="Times New Roman"/>
          <w:sz w:val="24"/>
          <w:szCs w:val="24"/>
        </w:rPr>
        <w:t>20.266</w:t>
      </w:r>
      <w:r w:rsidRP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, usluge za objavu znanstvenih radova u iznosu od 19.969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, savjetodavne i usluge izrade dokumentacije za prijavu projekata u iznosu </w:t>
      </w:r>
      <w:r w:rsidR="00632007">
        <w:rPr>
          <w:rFonts w:ascii="Times New Roman" w:hAnsi="Times New Roman" w:cs="Times New Roman"/>
          <w:sz w:val="24"/>
          <w:szCs w:val="24"/>
        </w:rPr>
        <w:t>164.527</w:t>
      </w:r>
      <w:r w:rsidRP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, usluge Studentskog centra i Doma mladih u iznosu od </w:t>
      </w:r>
      <w:r w:rsidR="00632007">
        <w:rPr>
          <w:rFonts w:ascii="Times New Roman" w:hAnsi="Times New Roman" w:cs="Times New Roman"/>
          <w:sz w:val="24"/>
          <w:szCs w:val="24"/>
        </w:rPr>
        <w:t>39.118</w:t>
      </w:r>
      <w:r w:rsidRP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 i dr.</w:t>
      </w:r>
    </w:p>
    <w:p w14:paraId="1CE9022A" w14:textId="77777777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4BE5B" w14:textId="0AE17BC3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E9">
        <w:rPr>
          <w:rFonts w:ascii="Times New Roman" w:hAnsi="Times New Roman" w:cs="Times New Roman"/>
          <w:sz w:val="24"/>
          <w:szCs w:val="24"/>
        </w:rPr>
        <w:t xml:space="preserve">Veći rashodi za </w:t>
      </w:r>
      <w:r w:rsidRPr="00B02835">
        <w:rPr>
          <w:rFonts w:ascii="Times New Roman" w:hAnsi="Times New Roman" w:cs="Times New Roman"/>
          <w:b/>
          <w:bCs/>
          <w:sz w:val="24"/>
          <w:szCs w:val="24"/>
        </w:rPr>
        <w:t>računalne usluge</w:t>
      </w:r>
      <w:r w:rsidRPr="000B2FE9">
        <w:rPr>
          <w:rFonts w:ascii="Times New Roman" w:hAnsi="Times New Roman" w:cs="Times New Roman"/>
          <w:sz w:val="24"/>
          <w:szCs w:val="24"/>
        </w:rPr>
        <w:t xml:space="preserve"> odnose se na izradu 3D i interaktivnih modela za potreba provođenja EU projekta Best4.0 u ukupnom iznosu 61.500,00 </w:t>
      </w:r>
      <w:r w:rsidR="00B02835">
        <w:rPr>
          <w:rFonts w:ascii="Times New Roman" w:hAnsi="Times New Roman" w:cs="Times New Roman"/>
          <w:sz w:val="24"/>
          <w:szCs w:val="24"/>
        </w:rPr>
        <w:t xml:space="preserve">EUR </w:t>
      </w:r>
      <w:r w:rsidRPr="000B2FE9">
        <w:rPr>
          <w:rFonts w:ascii="Times New Roman" w:hAnsi="Times New Roman" w:cs="Times New Roman"/>
          <w:sz w:val="24"/>
          <w:szCs w:val="24"/>
        </w:rPr>
        <w:t>, dok se ostali rashodi odnose na usluge održavanja programe za računovodstveno, knjižnično i uredsko poslovanje.</w:t>
      </w:r>
    </w:p>
    <w:p w14:paraId="66D16A48" w14:textId="7FF9CC6F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>Ostale usluge</w:t>
      </w:r>
      <w:r w:rsidRPr="000B2FE9">
        <w:rPr>
          <w:rFonts w:ascii="Times New Roman" w:hAnsi="Times New Roman" w:cs="Times New Roman"/>
          <w:sz w:val="24"/>
          <w:szCs w:val="24"/>
        </w:rPr>
        <w:t xml:space="preserve"> manje su za </w:t>
      </w:r>
      <w:r w:rsidR="00632007">
        <w:rPr>
          <w:rFonts w:ascii="Times New Roman" w:hAnsi="Times New Roman" w:cs="Times New Roman"/>
          <w:sz w:val="24"/>
          <w:szCs w:val="24"/>
        </w:rPr>
        <w:t>51,45</w:t>
      </w:r>
      <w:r w:rsidRPr="000B2FE9">
        <w:rPr>
          <w:rFonts w:ascii="Times New Roman" w:hAnsi="Times New Roman" w:cs="Times New Roman"/>
          <w:sz w:val="24"/>
          <w:szCs w:val="24"/>
        </w:rPr>
        <w:t xml:space="preserve"> %  jer je u prethodnom izvještajnom razdoblju bio povećan rashod za  grafičke i tiskarske usluge povodom obilježavanja 75. godina Fakulteta.  </w:t>
      </w:r>
    </w:p>
    <w:p w14:paraId="6321DCDB" w14:textId="50066E8B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>Naknade troškova osobama izvan radnog odnosa</w:t>
      </w:r>
      <w:r w:rsidRPr="000B2FE9">
        <w:rPr>
          <w:rFonts w:ascii="Times New Roman" w:hAnsi="Times New Roman" w:cs="Times New Roman"/>
          <w:sz w:val="24"/>
          <w:szCs w:val="24"/>
        </w:rPr>
        <w:t xml:space="preserve"> iznose 15.149,34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 i veće su za 79,7%, a najvećim dijelom odnose se na financiranje smještaja i prijevoza studentima Fakulteta za sudjelovanje na STEM igrama u Istri.</w:t>
      </w:r>
    </w:p>
    <w:p w14:paraId="3D221E31" w14:textId="7EA2C00F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>Ostali nespomenuti rashodi poslovanja</w:t>
      </w:r>
      <w:r w:rsidRPr="000B2FE9">
        <w:rPr>
          <w:rFonts w:ascii="Times New Roman" w:hAnsi="Times New Roman" w:cs="Times New Roman"/>
          <w:sz w:val="24"/>
          <w:szCs w:val="24"/>
        </w:rPr>
        <w:t xml:space="preserve"> izvršeni su u iznosu od </w:t>
      </w:r>
      <w:r w:rsidR="00632007">
        <w:rPr>
          <w:rFonts w:ascii="Times New Roman" w:hAnsi="Times New Roman" w:cs="Times New Roman"/>
          <w:sz w:val="24"/>
          <w:szCs w:val="24"/>
        </w:rPr>
        <w:t>55.009</w:t>
      </w:r>
      <w:r w:rsidRPr="000B2FE9">
        <w:rPr>
          <w:rFonts w:ascii="Times New Roman" w:hAnsi="Times New Roman" w:cs="Times New Roman"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 odnosno </w:t>
      </w:r>
      <w:r w:rsidR="00632007">
        <w:rPr>
          <w:rFonts w:ascii="Times New Roman" w:hAnsi="Times New Roman" w:cs="Times New Roman"/>
          <w:sz w:val="24"/>
          <w:szCs w:val="24"/>
        </w:rPr>
        <w:t>44,7</w:t>
      </w:r>
      <w:r w:rsidRPr="000B2FE9">
        <w:rPr>
          <w:rFonts w:ascii="Times New Roman" w:hAnsi="Times New Roman" w:cs="Times New Roman"/>
          <w:sz w:val="24"/>
          <w:szCs w:val="24"/>
        </w:rPr>
        <w:t xml:space="preserve">% manje u odnosu na prethodnu godinu.  Na smanjenje je najviše utjecalo smanjenje troškova reprezentacije u odnosu na prethodnu godinu kad se obilježavalo 75. godina Fakulteta. </w:t>
      </w:r>
    </w:p>
    <w:p w14:paraId="42951021" w14:textId="33126A4B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E9">
        <w:rPr>
          <w:rFonts w:ascii="Times New Roman" w:hAnsi="Times New Roman" w:cs="Times New Roman"/>
          <w:sz w:val="24"/>
          <w:szCs w:val="24"/>
        </w:rPr>
        <w:t xml:space="preserve">Ostali nespomenuti rashodi poslovanja obuhvaćaju osiguranje studenata i polaznika tečajeva i programa izobrazbe. </w:t>
      </w:r>
    </w:p>
    <w:p w14:paraId="6B98977B" w14:textId="0C0C4AAB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 xml:space="preserve">Subvencije </w:t>
      </w:r>
      <w:r w:rsidRPr="000B2FE9">
        <w:rPr>
          <w:rFonts w:ascii="Times New Roman" w:hAnsi="Times New Roman" w:cs="Times New Roman"/>
          <w:sz w:val="24"/>
          <w:szCs w:val="24"/>
        </w:rPr>
        <w:t xml:space="preserve">u iznosu od 441.461,51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0B2FE9">
        <w:rPr>
          <w:rFonts w:ascii="Times New Roman" w:hAnsi="Times New Roman" w:cs="Times New Roman"/>
          <w:sz w:val="24"/>
          <w:szCs w:val="24"/>
        </w:rPr>
        <w:t xml:space="preserve"> odnose se na doznaku sredstava tuzemnim i inozemnim trgovačkim društvima, partnerima na EU projektu Interreg TransH2. </w:t>
      </w:r>
    </w:p>
    <w:p w14:paraId="66EA6CAB" w14:textId="77777777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>Pomoći dane u inozemstvo i unutar općeg proračuna</w:t>
      </w:r>
      <w:r w:rsidRPr="000B2FE9">
        <w:rPr>
          <w:rFonts w:ascii="Times New Roman" w:hAnsi="Times New Roman" w:cs="Times New Roman"/>
          <w:sz w:val="24"/>
          <w:szCs w:val="24"/>
        </w:rPr>
        <w:t xml:space="preserve"> sastoje se od tekuće pomoći inozemnim vladama odnosno Univerzitetu u Trstu kao partneru na EU Interreg projektu TransH2.</w:t>
      </w:r>
    </w:p>
    <w:p w14:paraId="22AD0760" w14:textId="77777777" w:rsidR="000B2FE9" w:rsidRPr="000B2FE9" w:rsidRDefault="000B2FE9" w:rsidP="000B2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>Tekuće pomoći temeljem prijenosa EU sredstava</w:t>
      </w:r>
      <w:r w:rsidRPr="000B2FE9">
        <w:rPr>
          <w:rFonts w:ascii="Times New Roman" w:hAnsi="Times New Roman" w:cs="Times New Roman"/>
          <w:sz w:val="24"/>
          <w:szCs w:val="24"/>
        </w:rPr>
        <w:t xml:space="preserve"> odnosi se na prijenos sredstava partneru Razvojnoj agenciji Zadar, u sklopu projekta TransH2. </w:t>
      </w:r>
    </w:p>
    <w:p w14:paraId="561DBE67" w14:textId="587335D6" w:rsidR="002C1B2A" w:rsidRPr="002C1B2A" w:rsidRDefault="000B2FE9" w:rsidP="002C1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>Tekući prijenosi između proračunskih korisnika istog proračuna</w:t>
      </w:r>
      <w:r w:rsidRPr="000B2FE9">
        <w:rPr>
          <w:rFonts w:ascii="Times New Roman" w:hAnsi="Times New Roman" w:cs="Times New Roman"/>
          <w:sz w:val="24"/>
          <w:szCs w:val="24"/>
        </w:rPr>
        <w:t xml:space="preserve"> odnose se na prijenos sredstava</w:t>
      </w:r>
      <w:r w:rsidR="00632007">
        <w:rPr>
          <w:rFonts w:ascii="Times New Roman" w:hAnsi="Times New Roman" w:cs="Times New Roman"/>
          <w:sz w:val="24"/>
          <w:szCs w:val="24"/>
        </w:rPr>
        <w:t xml:space="preserve"> </w:t>
      </w:r>
      <w:r w:rsidR="002C1B2A" w:rsidRPr="002C1B2A">
        <w:rPr>
          <w:rFonts w:ascii="Times New Roman" w:hAnsi="Times New Roman" w:cs="Times New Roman"/>
          <w:sz w:val="24"/>
          <w:szCs w:val="24"/>
        </w:rPr>
        <w:t>Sveučilištu u Rijeci u visini 3%+1% naplaćenih prihoda od školarina i prihoda ostvarenih na tržištu u iznosu od 47.066</w:t>
      </w:r>
      <w:r w:rsidR="00B02835">
        <w:rPr>
          <w:rFonts w:ascii="Times New Roman" w:hAnsi="Times New Roman" w:cs="Times New Roman"/>
          <w:sz w:val="24"/>
          <w:szCs w:val="24"/>
        </w:rPr>
        <w:t xml:space="preserve"> EUR</w:t>
      </w:r>
      <w:r w:rsidR="002C1B2A" w:rsidRPr="002C1B2A">
        <w:rPr>
          <w:rFonts w:ascii="Times New Roman" w:hAnsi="Times New Roman" w:cs="Times New Roman"/>
          <w:sz w:val="24"/>
          <w:szCs w:val="24"/>
        </w:rPr>
        <w:t xml:space="preserve">. Manji su jer su drugom i trećom kvartalu Sveučilište nije potraživalo 1% prihoda. </w:t>
      </w:r>
    </w:p>
    <w:p w14:paraId="7E266DE0" w14:textId="6391DEB1" w:rsidR="002C1B2A" w:rsidRPr="002C1B2A" w:rsidRDefault="002C1B2A" w:rsidP="002C1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>Naknade građanima i kućanstvima u novcu</w:t>
      </w:r>
      <w:r w:rsidRPr="002C1B2A">
        <w:rPr>
          <w:rFonts w:ascii="Times New Roman" w:hAnsi="Times New Roman" w:cs="Times New Roman"/>
          <w:sz w:val="24"/>
          <w:szCs w:val="24"/>
        </w:rPr>
        <w:t xml:space="preserve"> u iznosu od 24.648 </w:t>
      </w:r>
      <w:r w:rsidR="00B02835">
        <w:rPr>
          <w:rFonts w:ascii="Times New Roman" w:hAnsi="Times New Roman" w:cs="Times New Roman"/>
          <w:sz w:val="24"/>
          <w:szCs w:val="24"/>
        </w:rPr>
        <w:t xml:space="preserve">EUR </w:t>
      </w:r>
      <w:r w:rsidRPr="002C1B2A">
        <w:rPr>
          <w:rFonts w:ascii="Times New Roman" w:hAnsi="Times New Roman" w:cs="Times New Roman"/>
          <w:sz w:val="24"/>
          <w:szCs w:val="24"/>
        </w:rPr>
        <w:t xml:space="preserve">odnose na plaćanje školarine doktorskog studija za dva zaposlenika Fakulteta, refundaciju troškova izrade doktorske disertacije </w:t>
      </w:r>
      <w:r w:rsidR="00045B6A">
        <w:rPr>
          <w:rFonts w:ascii="Times New Roman" w:hAnsi="Times New Roman" w:cs="Times New Roman"/>
          <w:sz w:val="24"/>
          <w:szCs w:val="24"/>
        </w:rPr>
        <w:t>za četiri zaposlenika k</w:t>
      </w:r>
      <w:r w:rsidRPr="002C1B2A">
        <w:rPr>
          <w:rFonts w:ascii="Times New Roman" w:hAnsi="Times New Roman" w:cs="Times New Roman"/>
          <w:sz w:val="24"/>
          <w:szCs w:val="24"/>
        </w:rPr>
        <w:t>oji su stekli zvanje doktora znanosti koje financira MZOM, stipendiju doktorskog studija Pomorstvo koju financira IAMU</w:t>
      </w:r>
      <w:r w:rsidR="00045B6A">
        <w:rPr>
          <w:rFonts w:ascii="Times New Roman" w:hAnsi="Times New Roman" w:cs="Times New Roman"/>
          <w:sz w:val="24"/>
          <w:szCs w:val="24"/>
        </w:rPr>
        <w:t xml:space="preserve"> i</w:t>
      </w:r>
      <w:r w:rsidRPr="002C1B2A">
        <w:rPr>
          <w:rFonts w:ascii="Times New Roman" w:hAnsi="Times New Roman" w:cs="Times New Roman"/>
          <w:sz w:val="24"/>
          <w:szCs w:val="24"/>
        </w:rPr>
        <w:t xml:space="preserve"> sredstva NPOO međunarodne mobilnosti  koju je doznačila Hrvatska zaklada za znanost za asistenticu Fakulteta koja je na stručnom usavršavanju u Italiji.</w:t>
      </w:r>
    </w:p>
    <w:p w14:paraId="20CB31DD" w14:textId="63F47927" w:rsidR="002C1B2A" w:rsidRPr="002C1B2A" w:rsidRDefault="002C1B2A" w:rsidP="002C1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>Tekuće donacije u novcu</w:t>
      </w:r>
      <w:r w:rsidRPr="002C1B2A">
        <w:rPr>
          <w:rFonts w:ascii="Times New Roman" w:hAnsi="Times New Roman" w:cs="Times New Roman"/>
          <w:sz w:val="24"/>
          <w:szCs w:val="24"/>
        </w:rPr>
        <w:t xml:space="preserve"> odnose se na donaciju udruzi studenata POM-F-RI u iznosu od  3.500,00 eura i Riječkoj nadbiskupiji u iznosu 150,00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2C1B2A">
        <w:rPr>
          <w:rFonts w:ascii="Times New Roman" w:hAnsi="Times New Roman" w:cs="Times New Roman"/>
          <w:sz w:val="24"/>
          <w:szCs w:val="24"/>
        </w:rPr>
        <w:t>.</w:t>
      </w:r>
    </w:p>
    <w:p w14:paraId="1D2BE6BE" w14:textId="176D69CE" w:rsidR="002C1B2A" w:rsidRPr="002C1B2A" w:rsidRDefault="002C1B2A" w:rsidP="002C1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>Tekuće donacije u naravi</w:t>
      </w:r>
      <w:r w:rsidRPr="002C1B2A">
        <w:rPr>
          <w:rFonts w:ascii="Times New Roman" w:hAnsi="Times New Roman" w:cs="Times New Roman"/>
          <w:sz w:val="24"/>
          <w:szCs w:val="24"/>
        </w:rPr>
        <w:t xml:space="preserve"> u iznosu od 785 </w:t>
      </w:r>
      <w:r w:rsidR="00B02835">
        <w:rPr>
          <w:rFonts w:ascii="Times New Roman" w:hAnsi="Times New Roman" w:cs="Times New Roman"/>
          <w:sz w:val="24"/>
          <w:szCs w:val="24"/>
        </w:rPr>
        <w:t>EUR</w:t>
      </w:r>
      <w:r w:rsidRPr="002C1B2A">
        <w:rPr>
          <w:rFonts w:ascii="Times New Roman" w:hAnsi="Times New Roman" w:cs="Times New Roman"/>
          <w:sz w:val="24"/>
          <w:szCs w:val="24"/>
        </w:rPr>
        <w:t xml:space="preserve"> su prigodni darovi najboljim studentima Fakulteta (pametni satovi).</w:t>
      </w:r>
    </w:p>
    <w:p w14:paraId="4C78ABFB" w14:textId="018EDEE8" w:rsidR="000B2FE9" w:rsidRPr="007A4C09" w:rsidRDefault="002C1B2A" w:rsidP="002C1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b/>
          <w:bCs/>
          <w:sz w:val="24"/>
          <w:szCs w:val="24"/>
        </w:rPr>
        <w:t>Tekuće donacije iz EU sredstava</w:t>
      </w:r>
      <w:r w:rsidRPr="002C1B2A">
        <w:rPr>
          <w:rFonts w:ascii="Times New Roman" w:hAnsi="Times New Roman" w:cs="Times New Roman"/>
          <w:sz w:val="24"/>
          <w:szCs w:val="24"/>
        </w:rPr>
        <w:t xml:space="preserve"> su donacije Hrvatskoj gospodarskoj komori, partneru na TransH2 projektu.</w:t>
      </w:r>
    </w:p>
    <w:p w14:paraId="7361711A" w14:textId="77777777" w:rsidR="00045B6A" w:rsidRDefault="00045B6A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B3E50EA" w14:textId="5B80B30A" w:rsidR="00843880" w:rsidRPr="00C44585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44585">
        <w:rPr>
          <w:rFonts w:ascii="Times New Roman" w:hAnsi="Times New Roman" w:cs="Times New Roman"/>
          <w:b/>
          <w:sz w:val="24"/>
          <w:szCs w:val="24"/>
          <w:lang w:val="de-DE"/>
        </w:rPr>
        <w:t>RASHODI ZA NABAVU NEFINANCIJSKE IMOVINE</w:t>
      </w:r>
    </w:p>
    <w:p w14:paraId="066E77C4" w14:textId="63C26445" w:rsidR="00632007" w:rsidRPr="00632007" w:rsidRDefault="00632007" w:rsidP="0063200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007"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 ostvareni su u iznosu od </w:t>
      </w:r>
      <w:r>
        <w:rPr>
          <w:rFonts w:ascii="Times New Roman" w:hAnsi="Times New Roman" w:cs="Times New Roman"/>
          <w:bCs/>
          <w:sz w:val="24"/>
          <w:szCs w:val="24"/>
        </w:rPr>
        <w:t>258.3</w:t>
      </w:r>
      <w:r w:rsidR="00045B6A">
        <w:rPr>
          <w:rFonts w:ascii="Times New Roman" w:hAnsi="Times New Roman" w:cs="Times New Roman"/>
          <w:bCs/>
          <w:sz w:val="24"/>
          <w:szCs w:val="24"/>
        </w:rPr>
        <w:t>59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bCs/>
          <w:sz w:val="24"/>
          <w:szCs w:val="24"/>
        </w:rPr>
        <w:t>EUR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 što je </w:t>
      </w:r>
      <w:r>
        <w:rPr>
          <w:rFonts w:ascii="Times New Roman" w:hAnsi="Times New Roman" w:cs="Times New Roman"/>
          <w:bCs/>
          <w:sz w:val="24"/>
          <w:szCs w:val="24"/>
        </w:rPr>
        <w:t xml:space="preserve">manje 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za </w:t>
      </w:r>
      <w:r>
        <w:rPr>
          <w:rFonts w:ascii="Times New Roman" w:hAnsi="Times New Roman" w:cs="Times New Roman"/>
          <w:bCs/>
          <w:sz w:val="24"/>
          <w:szCs w:val="24"/>
        </w:rPr>
        <w:t>5,42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% u odnosu prethodnu godinu. </w:t>
      </w:r>
    </w:p>
    <w:p w14:paraId="1E106299" w14:textId="17DC4DD3" w:rsidR="00632007" w:rsidRPr="00632007" w:rsidRDefault="00632007" w:rsidP="0063200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00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 povećanje rashoda najviše je utjecala nabava </w:t>
      </w:r>
      <w:r w:rsidRPr="00B02835">
        <w:rPr>
          <w:rFonts w:ascii="Times New Roman" w:hAnsi="Times New Roman" w:cs="Times New Roman"/>
          <w:b/>
          <w:sz w:val="24"/>
          <w:szCs w:val="24"/>
        </w:rPr>
        <w:t>programske i simulatorske podrške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 za  simulator financirana od strane Ministarstva mora, prometa i infrastrukture u iznosu 188.090 </w:t>
      </w:r>
      <w:r w:rsidR="00B02835">
        <w:rPr>
          <w:rFonts w:ascii="Times New Roman" w:hAnsi="Times New Roman" w:cs="Times New Roman"/>
          <w:bCs/>
          <w:sz w:val="24"/>
          <w:szCs w:val="24"/>
        </w:rPr>
        <w:t>EUR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 evidentirana na stavci ulaganja u računalne programe i nabavu opreme, a sredstva s raspoređena unutar aktivnosti K621061-Održavanje </w:t>
      </w:r>
      <w:r w:rsidR="008C2166">
        <w:rPr>
          <w:rFonts w:ascii="Times New Roman" w:hAnsi="Times New Roman" w:cs="Times New Roman"/>
          <w:bCs/>
          <w:sz w:val="24"/>
          <w:szCs w:val="24"/>
        </w:rPr>
        <w:t xml:space="preserve">objekata visokoobrazovnih ustanova 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 Ministarstva znanosti obrazovanja i mladih. </w:t>
      </w:r>
    </w:p>
    <w:p w14:paraId="13F7CAC9" w14:textId="734C742B" w:rsidR="00632007" w:rsidRPr="00632007" w:rsidRDefault="00632007" w:rsidP="0063200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DEC">
        <w:rPr>
          <w:rFonts w:ascii="Times New Roman" w:hAnsi="Times New Roman" w:cs="Times New Roman"/>
          <w:b/>
          <w:sz w:val="24"/>
          <w:szCs w:val="24"/>
        </w:rPr>
        <w:t>Nabava Postrojenja i opreme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 manja je za </w:t>
      </w:r>
      <w:r w:rsidR="00B02835">
        <w:rPr>
          <w:rFonts w:ascii="Times New Roman" w:hAnsi="Times New Roman" w:cs="Times New Roman"/>
          <w:bCs/>
          <w:sz w:val="24"/>
          <w:szCs w:val="24"/>
        </w:rPr>
        <w:t>41,67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% i odnosi se uglavnom na nabavu uredskog namještaja za potrebe opremanja ureda zaposlenika Fakulteta u iznosu </w:t>
      </w:r>
      <w:r w:rsidR="00B02835">
        <w:rPr>
          <w:rFonts w:ascii="Times New Roman" w:hAnsi="Times New Roman" w:cs="Times New Roman"/>
          <w:bCs/>
          <w:sz w:val="24"/>
          <w:szCs w:val="24"/>
        </w:rPr>
        <w:t xml:space="preserve">28.545 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835">
        <w:rPr>
          <w:rFonts w:ascii="Times New Roman" w:hAnsi="Times New Roman" w:cs="Times New Roman"/>
          <w:bCs/>
          <w:sz w:val="24"/>
          <w:szCs w:val="24"/>
        </w:rPr>
        <w:t>EUR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, a ostatak opreme koji je trebao biti nabavljen u sklopu javne nabave realiziran je u siječnju 2026. godine. </w:t>
      </w:r>
    </w:p>
    <w:p w14:paraId="2A10AC39" w14:textId="57A44B60" w:rsidR="00632007" w:rsidRPr="00632007" w:rsidRDefault="00632007" w:rsidP="0063200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835">
        <w:rPr>
          <w:rFonts w:ascii="Times New Roman" w:hAnsi="Times New Roman" w:cs="Times New Roman"/>
          <w:b/>
          <w:sz w:val="24"/>
          <w:szCs w:val="24"/>
        </w:rPr>
        <w:t>Nabava uređaja i opreme za ostale namjene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 odnosi se na nabavu kompresora za punjenje boca sa zrakom različitih dimenzija u radionici Torpedo u iznosu 11.337 </w:t>
      </w:r>
      <w:r w:rsidR="00B02835">
        <w:rPr>
          <w:rFonts w:ascii="Times New Roman" w:hAnsi="Times New Roman" w:cs="Times New Roman"/>
          <w:bCs/>
          <w:sz w:val="24"/>
          <w:szCs w:val="24"/>
        </w:rPr>
        <w:t>EUR</w:t>
      </w:r>
      <w:r w:rsidRPr="00632007">
        <w:rPr>
          <w:rFonts w:ascii="Times New Roman" w:hAnsi="Times New Roman" w:cs="Times New Roman"/>
          <w:bCs/>
          <w:sz w:val="24"/>
          <w:szCs w:val="24"/>
        </w:rPr>
        <w:t xml:space="preserve"> koji je bitan i za  uspješan dovršetak aktivnih Uniri zip projekata 3D Wreck i Marine Litter. Nabavljen je i prijenosni generator električne energije pogonjen baterijskim napajanjem (ECO verzija)  za potrebe projekta FRED u iznosu 3.044,00 </w:t>
      </w:r>
      <w:r w:rsidR="00B02835">
        <w:rPr>
          <w:rFonts w:ascii="Times New Roman" w:hAnsi="Times New Roman" w:cs="Times New Roman"/>
          <w:bCs/>
          <w:sz w:val="24"/>
          <w:szCs w:val="24"/>
        </w:rPr>
        <w:t>EUR</w:t>
      </w:r>
      <w:r w:rsidRPr="0063200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D373D3" w14:textId="77777777" w:rsidR="00632007" w:rsidRDefault="00632007" w:rsidP="00C003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2D289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U SLJEDEĆU GODINU</w:t>
      </w:r>
    </w:p>
    <w:p w14:paraId="5B13CC0D" w14:textId="4CC50960" w:rsidR="00916961" w:rsidRPr="00916961" w:rsidRDefault="00916961" w:rsidP="009169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61">
        <w:rPr>
          <w:rFonts w:ascii="Times New Roman" w:hAnsi="Times New Roman" w:cs="Times New Roman"/>
          <w:sz w:val="24"/>
          <w:szCs w:val="24"/>
        </w:rPr>
        <w:t xml:space="preserve">Donos odnosno odnos </w:t>
      </w:r>
      <w:r w:rsidR="00EE5B1A">
        <w:rPr>
          <w:rFonts w:ascii="Times New Roman" w:hAnsi="Times New Roman" w:cs="Times New Roman"/>
          <w:sz w:val="24"/>
          <w:szCs w:val="24"/>
        </w:rPr>
        <w:t xml:space="preserve">čine </w:t>
      </w:r>
      <w:r w:rsidRPr="00916961">
        <w:rPr>
          <w:rFonts w:ascii="Times New Roman" w:hAnsi="Times New Roman" w:cs="Times New Roman"/>
          <w:sz w:val="24"/>
          <w:szCs w:val="24"/>
        </w:rPr>
        <w:t>sredstva raspoređena po izvorima financiranja i ne uključuj</w:t>
      </w:r>
      <w:r w:rsidR="00EE5B1A">
        <w:rPr>
          <w:rFonts w:ascii="Times New Roman" w:hAnsi="Times New Roman" w:cs="Times New Roman"/>
          <w:sz w:val="24"/>
          <w:szCs w:val="24"/>
        </w:rPr>
        <w:t>u</w:t>
      </w:r>
      <w:r w:rsidRPr="00916961">
        <w:rPr>
          <w:rFonts w:ascii="Times New Roman" w:hAnsi="Times New Roman" w:cs="Times New Roman"/>
          <w:sz w:val="24"/>
          <w:szCs w:val="24"/>
        </w:rPr>
        <w:t xml:space="preserve"> sredstva na transakcijskom računu koja na dan 31.12.202</w:t>
      </w:r>
      <w:r w:rsidR="007B4B6C">
        <w:rPr>
          <w:rFonts w:ascii="Times New Roman" w:hAnsi="Times New Roman" w:cs="Times New Roman"/>
          <w:sz w:val="24"/>
          <w:szCs w:val="24"/>
        </w:rPr>
        <w:t>5</w:t>
      </w:r>
      <w:r w:rsidRPr="00916961">
        <w:rPr>
          <w:rFonts w:ascii="Times New Roman" w:hAnsi="Times New Roman" w:cs="Times New Roman"/>
          <w:sz w:val="24"/>
          <w:szCs w:val="24"/>
        </w:rPr>
        <w:t>. predstavljaju obvezu</w:t>
      </w:r>
      <w:r>
        <w:rPr>
          <w:rFonts w:ascii="Times New Roman" w:hAnsi="Times New Roman" w:cs="Times New Roman"/>
          <w:sz w:val="24"/>
          <w:szCs w:val="24"/>
        </w:rPr>
        <w:t>, te</w:t>
      </w:r>
      <w:r w:rsidRPr="00916961">
        <w:rPr>
          <w:rFonts w:ascii="Times New Roman" w:hAnsi="Times New Roman" w:cs="Times New Roman"/>
          <w:sz w:val="24"/>
          <w:szCs w:val="24"/>
        </w:rPr>
        <w:t xml:space="preserve"> neće biti evidentirana kao rashod.</w:t>
      </w:r>
    </w:p>
    <w:p w14:paraId="2187F959" w14:textId="615EDF24" w:rsidR="002B76B1" w:rsidRDefault="00966C6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 sredstava u 2025. godinu je </w:t>
      </w:r>
      <w:r w:rsidR="001A1784">
        <w:rPr>
          <w:rFonts w:ascii="Times New Roman" w:hAnsi="Times New Roman" w:cs="Times New Roman"/>
          <w:sz w:val="24"/>
          <w:szCs w:val="24"/>
        </w:rPr>
        <w:t>870.794</w:t>
      </w:r>
      <w:r>
        <w:rPr>
          <w:rFonts w:ascii="Times New Roman" w:hAnsi="Times New Roman" w:cs="Times New Roman"/>
          <w:sz w:val="24"/>
          <w:szCs w:val="24"/>
        </w:rPr>
        <w:t xml:space="preserve"> EUR i sastoji se od vlastitih i namjenskih sredstava na transakcijskom računu Fakulteta. </w:t>
      </w:r>
      <w:r w:rsidR="008B756C">
        <w:rPr>
          <w:rFonts w:ascii="Times New Roman" w:hAnsi="Times New Roman" w:cs="Times New Roman"/>
          <w:sz w:val="24"/>
          <w:szCs w:val="24"/>
        </w:rPr>
        <w:t xml:space="preserve">Prijenos sredstava u 2026. godinu iznosi </w:t>
      </w:r>
      <w:r w:rsidR="001A1784">
        <w:rPr>
          <w:rFonts w:ascii="Times New Roman" w:hAnsi="Times New Roman" w:cs="Times New Roman"/>
          <w:sz w:val="24"/>
          <w:szCs w:val="24"/>
        </w:rPr>
        <w:t>795.743</w:t>
      </w:r>
      <w:r w:rsidR="008B756C">
        <w:rPr>
          <w:rFonts w:ascii="Times New Roman" w:hAnsi="Times New Roman" w:cs="Times New Roman"/>
          <w:sz w:val="24"/>
          <w:szCs w:val="24"/>
        </w:rPr>
        <w:t xml:space="preserve"> eura, a sastoji se od neutrošenih sredstava programskog ugovora, vlastitih i namjenskih sredstava.</w:t>
      </w:r>
    </w:p>
    <w:p w14:paraId="78759103" w14:textId="77777777" w:rsidR="0041694B" w:rsidRDefault="008E69E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višegodišnjeg razdoblja Pomorski fakultet Rijeka </w:t>
      </w:r>
      <w:r w:rsidR="00E57115">
        <w:rPr>
          <w:rFonts w:ascii="Times New Roman" w:hAnsi="Times New Roman" w:cs="Times New Roman"/>
          <w:sz w:val="24"/>
          <w:szCs w:val="24"/>
        </w:rPr>
        <w:t>značajno ulaže</w:t>
      </w:r>
      <w:r>
        <w:rPr>
          <w:rFonts w:ascii="Times New Roman" w:hAnsi="Times New Roman" w:cs="Times New Roman"/>
          <w:sz w:val="24"/>
          <w:szCs w:val="24"/>
        </w:rPr>
        <w:t xml:space="preserve"> u nabavu kapitalne opreme kao i obnovu postojećeg prostora</w:t>
      </w:r>
      <w:r w:rsidR="00E57115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u svrhu osiguranja boljih uvjeta za održavanje nastave i </w:t>
      </w:r>
      <w:r w:rsidR="00E57115">
        <w:rPr>
          <w:rFonts w:ascii="Times New Roman" w:hAnsi="Times New Roman" w:cs="Times New Roman"/>
          <w:sz w:val="24"/>
          <w:szCs w:val="24"/>
        </w:rPr>
        <w:t xml:space="preserve">studentske </w:t>
      </w:r>
      <w:r>
        <w:rPr>
          <w:rFonts w:ascii="Times New Roman" w:hAnsi="Times New Roman" w:cs="Times New Roman"/>
          <w:sz w:val="24"/>
          <w:szCs w:val="24"/>
        </w:rPr>
        <w:t xml:space="preserve">prakse. U skladu s tim, sredstva iz prethodnih godina koja se najvećim dijelom odnose na sredstva </w:t>
      </w:r>
      <w:r w:rsidR="004F24C9">
        <w:rPr>
          <w:rFonts w:ascii="Times New Roman" w:hAnsi="Times New Roman" w:cs="Times New Roman"/>
          <w:sz w:val="24"/>
          <w:szCs w:val="24"/>
        </w:rPr>
        <w:t>pomoći EU</w:t>
      </w:r>
      <w:r>
        <w:rPr>
          <w:rFonts w:ascii="Times New Roman" w:hAnsi="Times New Roman" w:cs="Times New Roman"/>
          <w:sz w:val="24"/>
          <w:szCs w:val="24"/>
        </w:rPr>
        <w:t xml:space="preserve">, kao i sredstva koja Fakultet ostvari na tržištu </w:t>
      </w:r>
      <w:r w:rsidR="00E57115">
        <w:rPr>
          <w:rFonts w:ascii="Times New Roman" w:hAnsi="Times New Roman" w:cs="Times New Roman"/>
          <w:sz w:val="24"/>
          <w:szCs w:val="24"/>
        </w:rPr>
        <w:t>se troše u skladu s mogućnostima i trenutnim kapacitetima.</w:t>
      </w:r>
    </w:p>
    <w:p w14:paraId="51491D72" w14:textId="77777777" w:rsidR="00186B7B" w:rsidRPr="00186B7B" w:rsidRDefault="00751E8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STANJE NOVČANIH SREDSTAVA </w:t>
      </w:r>
    </w:p>
    <w:p w14:paraId="7CFB73E7" w14:textId="3D7DCCB7" w:rsidR="000D0A1C" w:rsidRPr="00F471E7" w:rsidRDefault="00FB5363" w:rsidP="003E65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186B7B">
        <w:rPr>
          <w:rFonts w:ascii="Times New Roman" w:hAnsi="Times New Roman" w:cs="Times New Roman"/>
          <w:sz w:val="24"/>
          <w:szCs w:val="24"/>
        </w:rPr>
        <w:t>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</w:t>
      </w:r>
      <w:r w:rsidR="00751E84">
        <w:rPr>
          <w:rFonts w:ascii="Times New Roman" w:hAnsi="Times New Roman" w:cs="Times New Roman"/>
          <w:sz w:val="24"/>
          <w:szCs w:val="24"/>
        </w:rPr>
        <w:t>novčanih sredstava na transakcijskom računu u Zagrebačkoj banci na dan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</w:t>
      </w:r>
      <w:r w:rsidR="00C00306">
        <w:rPr>
          <w:rFonts w:ascii="Times New Roman" w:hAnsi="Times New Roman" w:cs="Times New Roman"/>
          <w:sz w:val="24"/>
          <w:szCs w:val="24"/>
        </w:rPr>
        <w:t xml:space="preserve">31. prosinca </w:t>
      </w:r>
      <w:r w:rsidR="00751E84">
        <w:rPr>
          <w:rFonts w:ascii="Times New Roman" w:hAnsi="Times New Roman" w:cs="Times New Roman"/>
          <w:sz w:val="24"/>
          <w:szCs w:val="24"/>
        </w:rPr>
        <w:t xml:space="preserve"> 202</w:t>
      </w:r>
      <w:r w:rsidR="007B4B6C">
        <w:rPr>
          <w:rFonts w:ascii="Times New Roman" w:hAnsi="Times New Roman" w:cs="Times New Roman"/>
          <w:sz w:val="24"/>
          <w:szCs w:val="24"/>
        </w:rPr>
        <w:t>4</w:t>
      </w:r>
      <w:r w:rsidR="00751E84">
        <w:rPr>
          <w:rFonts w:ascii="Times New Roman" w:hAnsi="Times New Roman" w:cs="Times New Roman"/>
          <w:sz w:val="24"/>
          <w:szCs w:val="24"/>
        </w:rPr>
        <w:t>. godine</w:t>
      </w:r>
      <w:r w:rsid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100B99">
        <w:rPr>
          <w:rFonts w:ascii="Times New Roman" w:hAnsi="Times New Roman" w:cs="Times New Roman"/>
          <w:sz w:val="24"/>
          <w:szCs w:val="24"/>
        </w:rPr>
        <w:t>iznosi</w:t>
      </w:r>
      <w:r w:rsidR="007B4B6C">
        <w:rPr>
          <w:rFonts w:ascii="Times New Roman" w:hAnsi="Times New Roman" w:cs="Times New Roman"/>
          <w:sz w:val="24"/>
          <w:szCs w:val="24"/>
        </w:rPr>
        <w:t xml:space="preserve">lo je 975.818 </w:t>
      </w:r>
      <w:r w:rsidR="005934DF">
        <w:rPr>
          <w:rFonts w:ascii="Times New Roman" w:hAnsi="Times New Roman" w:cs="Times New Roman"/>
          <w:sz w:val="24"/>
          <w:szCs w:val="24"/>
        </w:rPr>
        <w:t>EUR, a</w:t>
      </w:r>
      <w:r w:rsidR="00751E84">
        <w:rPr>
          <w:rFonts w:ascii="Times New Roman" w:hAnsi="Times New Roman" w:cs="Times New Roman"/>
          <w:sz w:val="24"/>
          <w:szCs w:val="24"/>
        </w:rPr>
        <w:t xml:space="preserve"> na dan 31. prosinca 202</w:t>
      </w:r>
      <w:r w:rsidR="007B4B6C">
        <w:rPr>
          <w:rFonts w:ascii="Times New Roman" w:hAnsi="Times New Roman" w:cs="Times New Roman"/>
          <w:sz w:val="24"/>
          <w:szCs w:val="24"/>
        </w:rPr>
        <w:t>5</w:t>
      </w:r>
      <w:r w:rsidR="00751E84">
        <w:rPr>
          <w:rFonts w:ascii="Times New Roman" w:hAnsi="Times New Roman" w:cs="Times New Roman"/>
          <w:sz w:val="24"/>
          <w:szCs w:val="24"/>
        </w:rPr>
        <w:t xml:space="preserve">. godine </w:t>
      </w:r>
      <w:r w:rsidR="005934DF">
        <w:rPr>
          <w:rFonts w:ascii="Times New Roman" w:hAnsi="Times New Roman" w:cs="Times New Roman"/>
          <w:sz w:val="24"/>
          <w:szCs w:val="24"/>
        </w:rPr>
        <w:t>iznos</w:t>
      </w:r>
      <w:r w:rsidR="00100B99">
        <w:rPr>
          <w:rFonts w:ascii="Times New Roman" w:hAnsi="Times New Roman" w:cs="Times New Roman"/>
          <w:sz w:val="24"/>
          <w:szCs w:val="24"/>
        </w:rPr>
        <w:t>i</w:t>
      </w:r>
      <w:r w:rsidR="00602ED9">
        <w:rPr>
          <w:rFonts w:ascii="Times New Roman" w:hAnsi="Times New Roman" w:cs="Times New Roman"/>
          <w:sz w:val="24"/>
          <w:szCs w:val="24"/>
        </w:rPr>
        <w:t xml:space="preserve"> </w:t>
      </w:r>
      <w:r w:rsidR="007B4B6C">
        <w:rPr>
          <w:rFonts w:ascii="Times New Roman" w:hAnsi="Times New Roman" w:cs="Times New Roman"/>
          <w:sz w:val="24"/>
          <w:szCs w:val="24"/>
        </w:rPr>
        <w:t xml:space="preserve">912.885 </w:t>
      </w:r>
      <w:r w:rsidR="005934DF">
        <w:rPr>
          <w:rFonts w:ascii="Times New Roman" w:hAnsi="Times New Roman" w:cs="Times New Roman"/>
          <w:sz w:val="24"/>
          <w:szCs w:val="24"/>
        </w:rPr>
        <w:t xml:space="preserve">EUR.  </w:t>
      </w:r>
    </w:p>
    <w:sectPr w:rsidR="000D0A1C" w:rsidRPr="00F471E7" w:rsidSect="00536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41B5"/>
    <w:multiLevelType w:val="hybridMultilevel"/>
    <w:tmpl w:val="BB0066B0"/>
    <w:lvl w:ilvl="0" w:tplc="AAB6AF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E60B4"/>
    <w:multiLevelType w:val="hybridMultilevel"/>
    <w:tmpl w:val="8438E884"/>
    <w:lvl w:ilvl="0" w:tplc="A80EC83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0C9B"/>
    <w:multiLevelType w:val="hybridMultilevel"/>
    <w:tmpl w:val="7BA86C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20B9D"/>
    <w:multiLevelType w:val="hybridMultilevel"/>
    <w:tmpl w:val="2B4C790A"/>
    <w:lvl w:ilvl="0" w:tplc="1E723E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808F8"/>
    <w:multiLevelType w:val="hybridMultilevel"/>
    <w:tmpl w:val="166C9BA0"/>
    <w:lvl w:ilvl="0" w:tplc="B0AA138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6A4B6A"/>
    <w:multiLevelType w:val="hybridMultilevel"/>
    <w:tmpl w:val="D3CCDA1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1580993">
    <w:abstractNumId w:val="3"/>
  </w:num>
  <w:num w:numId="2" w16cid:durableId="2045321393">
    <w:abstractNumId w:val="0"/>
  </w:num>
  <w:num w:numId="3" w16cid:durableId="312490101">
    <w:abstractNumId w:val="4"/>
  </w:num>
  <w:num w:numId="4" w16cid:durableId="1063481467">
    <w:abstractNumId w:val="2"/>
  </w:num>
  <w:num w:numId="5" w16cid:durableId="1528522291">
    <w:abstractNumId w:val="5"/>
  </w:num>
  <w:num w:numId="6" w16cid:durableId="97741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45B6A"/>
    <w:rsid w:val="00053E73"/>
    <w:rsid w:val="00082AFE"/>
    <w:rsid w:val="000A1A2E"/>
    <w:rsid w:val="000B2FE9"/>
    <w:rsid w:val="000D0A1C"/>
    <w:rsid w:val="000E4617"/>
    <w:rsid w:val="000F5E11"/>
    <w:rsid w:val="00100B99"/>
    <w:rsid w:val="001152C5"/>
    <w:rsid w:val="00143083"/>
    <w:rsid w:val="00160E91"/>
    <w:rsid w:val="00182280"/>
    <w:rsid w:val="00186B7B"/>
    <w:rsid w:val="001A1784"/>
    <w:rsid w:val="001A448A"/>
    <w:rsid w:val="001A6438"/>
    <w:rsid w:val="001C153B"/>
    <w:rsid w:val="0020426A"/>
    <w:rsid w:val="00234285"/>
    <w:rsid w:val="00245B1D"/>
    <w:rsid w:val="0029735D"/>
    <w:rsid w:val="00297F7A"/>
    <w:rsid w:val="002B76B1"/>
    <w:rsid w:val="002C1B2A"/>
    <w:rsid w:val="002F7B64"/>
    <w:rsid w:val="00304433"/>
    <w:rsid w:val="003233E3"/>
    <w:rsid w:val="00397719"/>
    <w:rsid w:val="003A103A"/>
    <w:rsid w:val="003A22DB"/>
    <w:rsid w:val="003C7B38"/>
    <w:rsid w:val="003D4D6A"/>
    <w:rsid w:val="003E6546"/>
    <w:rsid w:val="00407290"/>
    <w:rsid w:val="00407976"/>
    <w:rsid w:val="0041694B"/>
    <w:rsid w:val="004224EE"/>
    <w:rsid w:val="0042274C"/>
    <w:rsid w:val="004518C9"/>
    <w:rsid w:val="00451DC2"/>
    <w:rsid w:val="00466878"/>
    <w:rsid w:val="00491DEC"/>
    <w:rsid w:val="004D5F09"/>
    <w:rsid w:val="004F24C9"/>
    <w:rsid w:val="0050143B"/>
    <w:rsid w:val="00502989"/>
    <w:rsid w:val="00536E9A"/>
    <w:rsid w:val="00545DC5"/>
    <w:rsid w:val="005722A3"/>
    <w:rsid w:val="00572F0D"/>
    <w:rsid w:val="005934DF"/>
    <w:rsid w:val="005B5AE4"/>
    <w:rsid w:val="005C1261"/>
    <w:rsid w:val="005C1418"/>
    <w:rsid w:val="005D01DD"/>
    <w:rsid w:val="005D3D4D"/>
    <w:rsid w:val="005F2081"/>
    <w:rsid w:val="00602ED9"/>
    <w:rsid w:val="00605080"/>
    <w:rsid w:val="00614C12"/>
    <w:rsid w:val="00624C16"/>
    <w:rsid w:val="00632007"/>
    <w:rsid w:val="00637ADB"/>
    <w:rsid w:val="00672CB7"/>
    <w:rsid w:val="006A1AD2"/>
    <w:rsid w:val="006D2814"/>
    <w:rsid w:val="0072334A"/>
    <w:rsid w:val="00741060"/>
    <w:rsid w:val="00751E84"/>
    <w:rsid w:val="00752573"/>
    <w:rsid w:val="007A4C09"/>
    <w:rsid w:val="007A5F0B"/>
    <w:rsid w:val="007A75B3"/>
    <w:rsid w:val="007B4B6C"/>
    <w:rsid w:val="007B6E37"/>
    <w:rsid w:val="007C5155"/>
    <w:rsid w:val="00825F48"/>
    <w:rsid w:val="00832801"/>
    <w:rsid w:val="008345A0"/>
    <w:rsid w:val="00843880"/>
    <w:rsid w:val="008616AC"/>
    <w:rsid w:val="008653BE"/>
    <w:rsid w:val="00885BCD"/>
    <w:rsid w:val="00886D68"/>
    <w:rsid w:val="008B2FBD"/>
    <w:rsid w:val="008B756C"/>
    <w:rsid w:val="008C2166"/>
    <w:rsid w:val="008D423E"/>
    <w:rsid w:val="008E5977"/>
    <w:rsid w:val="008E69EE"/>
    <w:rsid w:val="009023AA"/>
    <w:rsid w:val="00913BAC"/>
    <w:rsid w:val="00916961"/>
    <w:rsid w:val="0094274B"/>
    <w:rsid w:val="0094604C"/>
    <w:rsid w:val="0095545C"/>
    <w:rsid w:val="009620F6"/>
    <w:rsid w:val="00966C66"/>
    <w:rsid w:val="00975BA7"/>
    <w:rsid w:val="009B7985"/>
    <w:rsid w:val="009D1F7C"/>
    <w:rsid w:val="009D4647"/>
    <w:rsid w:val="009D7CA0"/>
    <w:rsid w:val="009E5FF3"/>
    <w:rsid w:val="00A50006"/>
    <w:rsid w:val="00A6013C"/>
    <w:rsid w:val="00A66C6B"/>
    <w:rsid w:val="00A91BC6"/>
    <w:rsid w:val="00A963E2"/>
    <w:rsid w:val="00AA3BEA"/>
    <w:rsid w:val="00AC288F"/>
    <w:rsid w:val="00AE2812"/>
    <w:rsid w:val="00B0258C"/>
    <w:rsid w:val="00B02835"/>
    <w:rsid w:val="00B12F4D"/>
    <w:rsid w:val="00B52306"/>
    <w:rsid w:val="00B5682C"/>
    <w:rsid w:val="00B645EE"/>
    <w:rsid w:val="00B7793B"/>
    <w:rsid w:val="00B83A98"/>
    <w:rsid w:val="00B93241"/>
    <w:rsid w:val="00BE2E5E"/>
    <w:rsid w:val="00BF44C6"/>
    <w:rsid w:val="00C00306"/>
    <w:rsid w:val="00C34087"/>
    <w:rsid w:val="00C44585"/>
    <w:rsid w:val="00C5053B"/>
    <w:rsid w:val="00C5751C"/>
    <w:rsid w:val="00CA12E2"/>
    <w:rsid w:val="00CE2543"/>
    <w:rsid w:val="00D019AB"/>
    <w:rsid w:val="00D02408"/>
    <w:rsid w:val="00D309A1"/>
    <w:rsid w:val="00D30A9D"/>
    <w:rsid w:val="00D35040"/>
    <w:rsid w:val="00D433A1"/>
    <w:rsid w:val="00D47A20"/>
    <w:rsid w:val="00D70FD6"/>
    <w:rsid w:val="00D9131E"/>
    <w:rsid w:val="00DB145C"/>
    <w:rsid w:val="00DD2586"/>
    <w:rsid w:val="00DF778D"/>
    <w:rsid w:val="00E34EA9"/>
    <w:rsid w:val="00E35379"/>
    <w:rsid w:val="00E5515D"/>
    <w:rsid w:val="00E57115"/>
    <w:rsid w:val="00E74D93"/>
    <w:rsid w:val="00EA3B20"/>
    <w:rsid w:val="00EA52FD"/>
    <w:rsid w:val="00EC7143"/>
    <w:rsid w:val="00EE0BC7"/>
    <w:rsid w:val="00EE55D3"/>
    <w:rsid w:val="00EE5B1A"/>
    <w:rsid w:val="00F27F03"/>
    <w:rsid w:val="00F471E7"/>
    <w:rsid w:val="00F70550"/>
    <w:rsid w:val="00F729B8"/>
    <w:rsid w:val="00F854CD"/>
    <w:rsid w:val="00FB173D"/>
    <w:rsid w:val="00F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0B57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38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4388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4388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84388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43880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styleId="TableGrid">
    <w:name w:val="Table Grid"/>
    <w:basedOn w:val="TableNormal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438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24">
    <w:name w:val="xl24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9">
    <w:name w:val="xl29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1">
    <w:name w:val="xl31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2">
    <w:name w:val="xl32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3">
    <w:name w:val="xl33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5">
    <w:name w:val="xl35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6">
    <w:name w:val="xl36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7">
    <w:name w:val="xl37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font5">
    <w:name w:val="font5"/>
    <w:basedOn w:val="Normal"/>
    <w:rsid w:val="0084388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38">
    <w:name w:val="xl38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39">
    <w:name w:val="xl39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customStyle="1" w:styleId="xl40">
    <w:name w:val="xl40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customStyle="1" w:styleId="xl41">
    <w:name w:val="xl41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42">
    <w:name w:val="xl42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styleId="BodyTextIndent">
    <w:name w:val="Body Text Indent"/>
    <w:basedOn w:val="Normal"/>
    <w:link w:val="BodyTextIndentChar"/>
    <w:rsid w:val="008438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8438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843880"/>
  </w:style>
  <w:style w:type="paragraph" w:styleId="Header">
    <w:name w:val="header"/>
    <w:basedOn w:val="Normal"/>
    <w:link w:val="HeaderChar"/>
    <w:rsid w:val="008438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84388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84388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88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88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88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438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4388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1C15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/>
              <a:t>VLASTITI PRIHODI OSTVARENI NA TRŽIŠTU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4987271954386594"/>
          <c:y val="4.1224359537387942E-2"/>
          <c:w val="0.84836931097898483"/>
          <c:h val="0.543879527387249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prihodi!$B$14</c:f>
              <c:strCache>
                <c:ptCount val="1"/>
                <c:pt idx="0">
                  <c:v>Skriptarnica i webshop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prihodi!$C$14:$G$14</c:f>
              <c:numCache>
                <c:formatCode>General</c:formatCode>
                <c:ptCount val="5"/>
                <c:pt idx="0" formatCode="#,##0">
                  <c:v>2050</c:v>
                </c:pt>
                <c:pt idx="1">
                  <c:v>818</c:v>
                </c:pt>
                <c:pt idx="2">
                  <c:v>568</c:v>
                </c:pt>
                <c:pt idx="3" formatCode="#,##0">
                  <c:v>1378</c:v>
                </c:pt>
                <c:pt idx="4">
                  <c:v>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4B-49BB-8452-B1454354FA83}"/>
            </c:ext>
          </c:extLst>
        </c:ser>
        <c:ser>
          <c:idx val="1"/>
          <c:order val="1"/>
          <c:tx>
            <c:strRef>
              <c:f>prihodi!$B$15</c:f>
              <c:strCache>
                <c:ptCount val="1"/>
                <c:pt idx="0">
                  <c:v>Prihodi od usluga Centra za izobrazbu pomoraca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prihodi!$C$15:$G$15</c:f>
              <c:numCache>
                <c:formatCode>#,##0</c:formatCode>
                <c:ptCount val="5"/>
                <c:pt idx="0">
                  <c:v>203050</c:v>
                </c:pt>
                <c:pt idx="1">
                  <c:v>196871</c:v>
                </c:pt>
                <c:pt idx="2">
                  <c:v>236012</c:v>
                </c:pt>
                <c:pt idx="3">
                  <c:v>247398</c:v>
                </c:pt>
                <c:pt idx="4">
                  <c:v>251712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4B-49BB-8452-B1454354FA83}"/>
            </c:ext>
          </c:extLst>
        </c:ser>
        <c:ser>
          <c:idx val="2"/>
          <c:order val="2"/>
          <c:tx>
            <c:strRef>
              <c:f>prihodi!$B$16</c:f>
              <c:strCache>
                <c:ptCount val="1"/>
                <c:pt idx="0">
                  <c:v>Prihodi od posebnog programa obrazovanja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prihodi!$C$16:$G$16</c:f>
              <c:numCache>
                <c:formatCode>#,##0</c:formatCode>
                <c:ptCount val="5"/>
                <c:pt idx="0">
                  <c:v>153295</c:v>
                </c:pt>
                <c:pt idx="1">
                  <c:v>118867</c:v>
                </c:pt>
                <c:pt idx="2">
                  <c:v>201522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4B-49BB-8452-B1454354FA83}"/>
            </c:ext>
          </c:extLst>
        </c:ser>
        <c:ser>
          <c:idx val="3"/>
          <c:order val="3"/>
          <c:tx>
            <c:strRef>
              <c:f>prihodi!$B$17</c:f>
              <c:strCache>
                <c:ptCount val="1"/>
                <c:pt idx="0">
                  <c:v>Prihodi od stručnih projekata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prihodi!$C$17:$G$17</c:f>
              <c:numCache>
                <c:formatCode>#,##0</c:formatCode>
                <c:ptCount val="5"/>
                <c:pt idx="0">
                  <c:v>371965</c:v>
                </c:pt>
                <c:pt idx="1">
                  <c:v>373688</c:v>
                </c:pt>
                <c:pt idx="2">
                  <c:v>412436</c:v>
                </c:pt>
                <c:pt idx="3">
                  <c:v>323091</c:v>
                </c:pt>
                <c:pt idx="4">
                  <c:v>340794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E4B-49BB-8452-B1454354FA83}"/>
            </c:ext>
          </c:extLst>
        </c:ser>
        <c:ser>
          <c:idx val="4"/>
          <c:order val="4"/>
          <c:tx>
            <c:strRef>
              <c:f>prihodi!$B$18</c:f>
              <c:strCache>
                <c:ptCount val="1"/>
                <c:pt idx="0">
                  <c:v>Prihodi od sponzorstva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prihodi!$C$18:$G$18</c:f>
              <c:numCache>
                <c:formatCode>#,##0</c:formatCode>
                <c:ptCount val="5"/>
                <c:pt idx="0" formatCode="General">
                  <c:v>0</c:v>
                </c:pt>
                <c:pt idx="1">
                  <c:v>18569</c:v>
                </c:pt>
                <c:pt idx="2">
                  <c:v>2000</c:v>
                </c:pt>
                <c:pt idx="3" formatCode="General">
                  <c:v>0</c:v>
                </c:pt>
                <c:pt idx="4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4B-49BB-8452-B1454354FA83}"/>
            </c:ext>
          </c:extLst>
        </c:ser>
        <c:ser>
          <c:idx val="5"/>
          <c:order val="5"/>
          <c:tx>
            <c:strRef>
              <c:f>prihodi!$B$19</c:f>
              <c:strCache>
                <c:ptCount val="1"/>
                <c:pt idx="0">
                  <c:v>Ostali vlastiti prihodi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prihodi!$C$19:$G$19</c:f>
              <c:numCache>
                <c:formatCode>#,##0</c:formatCode>
                <c:ptCount val="5"/>
                <c:pt idx="0">
                  <c:v>140666</c:v>
                </c:pt>
                <c:pt idx="1">
                  <c:v>15518</c:v>
                </c:pt>
                <c:pt idx="2">
                  <c:v>8899</c:v>
                </c:pt>
                <c:pt idx="3">
                  <c:v>5829</c:v>
                </c:pt>
                <c:pt idx="4">
                  <c:v>4641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E4B-49BB-8452-B1454354FA83}"/>
            </c:ext>
          </c:extLst>
        </c:ser>
        <c:ser>
          <c:idx val="6"/>
          <c:order val="6"/>
          <c:tx>
            <c:strRef>
              <c:f>prihodi!$B$20</c:f>
              <c:strCache>
                <c:ptCount val="1"/>
                <c:pt idx="0">
                  <c:v>Prihodi od najamnine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prihodi!$C$20:$G$20</c:f>
              <c:numCache>
                <c:formatCode>#,##0</c:formatCode>
                <c:ptCount val="5"/>
                <c:pt idx="0">
                  <c:v>10804</c:v>
                </c:pt>
                <c:pt idx="1">
                  <c:v>12532</c:v>
                </c:pt>
                <c:pt idx="2">
                  <c:v>14262</c:v>
                </c:pt>
                <c:pt idx="3">
                  <c:v>16696</c:v>
                </c:pt>
                <c:pt idx="4">
                  <c:v>23282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E4B-49BB-8452-B1454354FA83}"/>
            </c:ext>
          </c:extLst>
        </c:ser>
        <c:ser>
          <c:idx val="7"/>
          <c:order val="7"/>
          <c:tx>
            <c:strRef>
              <c:f>prihodi!$B$21</c:f>
              <c:strCache>
                <c:ptCount val="1"/>
                <c:pt idx="0">
                  <c:v>Prihodi od refundacija režija (Studentski centar)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prihodi!$C$21:$G$21</c:f>
              <c:numCache>
                <c:formatCode>#,##0</c:formatCode>
                <c:ptCount val="5"/>
                <c:pt idx="0">
                  <c:v>6217</c:v>
                </c:pt>
                <c:pt idx="1">
                  <c:v>7426</c:v>
                </c:pt>
                <c:pt idx="2">
                  <c:v>10597</c:v>
                </c:pt>
                <c:pt idx="3">
                  <c:v>10551</c:v>
                </c:pt>
                <c:pt idx="4">
                  <c:v>9231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E4B-49BB-8452-B1454354FA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3230367"/>
        <c:axId val="522649183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3230367"/>
        <c:axId val="522649183"/>
        <c:extLst>
          <c:ext xmlns:c15="http://schemas.microsoft.com/office/drawing/2012/chart" uri="{02D57815-91ED-43cb-92C2-25804820EDAC}">
            <c15:filteredLineSeries>
              <c15:ser>
                <c:idx val="8"/>
                <c:order val="8"/>
                <c:tx>
                  <c:strRef>
                    <c:extLst>
                      <c:ext uri="{02D57815-91ED-43cb-92C2-25804820EDAC}">
                        <c15:formulaRef>
                          <c15:sqref>prihodi!$B$22</c15:sqref>
                        </c15:formulaRef>
                      </c:ext>
                    </c:extLst>
                    <c:strCache>
                      <c:ptCount val="1"/>
                      <c:pt idx="0">
                        <c:v>VLASTITI PRIHODI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prihodi!$C$13:$G$13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prihodi!$C$22:$G$22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888047</c:v>
                      </c:pt>
                      <c:pt idx="1">
                        <c:v>744289</c:v>
                      </c:pt>
                      <c:pt idx="2">
                        <c:v>886296</c:v>
                      </c:pt>
                      <c:pt idx="3">
                        <c:v>604943</c:v>
                      </c:pt>
                      <c:pt idx="4">
                        <c:v>631438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8-BE4B-49BB-8452-B1454354FA83}"/>
                  </c:ext>
                </c:extLst>
              </c15:ser>
            </c15:filteredLineSeries>
          </c:ext>
        </c:extLst>
      </c:lineChart>
      <c:catAx>
        <c:axId val="543230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2649183"/>
        <c:crosses val="autoZero"/>
        <c:auto val="1"/>
        <c:lblAlgn val="ctr"/>
        <c:lblOffset val="100"/>
        <c:noMultiLvlLbl val="0"/>
      </c:catAx>
      <c:valAx>
        <c:axId val="522649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32303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9432288075944085E-2"/>
          <c:y val="0.72529843453412002"/>
          <c:w val="0.94331767230753616"/>
          <c:h val="0.274701676859964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/>
              <a:t>ŠKOLARINE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prihodi!$B$3</c:f>
              <c:strCache>
                <c:ptCount val="1"/>
                <c:pt idx="0">
                  <c:v>Školarine redovni studij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prihodi!$C$3:$G$3</c:f>
              <c:numCache>
                <c:formatCode>#,##0</c:formatCode>
                <c:ptCount val="5"/>
                <c:pt idx="0">
                  <c:v>248171</c:v>
                </c:pt>
                <c:pt idx="1">
                  <c:v>251126</c:v>
                </c:pt>
                <c:pt idx="2">
                  <c:v>223868</c:v>
                </c:pt>
                <c:pt idx="3">
                  <c:v>225166</c:v>
                </c:pt>
                <c:pt idx="4">
                  <c:v>232798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A8-417A-BAA6-6E4423365F43}"/>
            </c:ext>
          </c:extLst>
        </c:ser>
        <c:ser>
          <c:idx val="1"/>
          <c:order val="1"/>
          <c:tx>
            <c:strRef>
              <c:f>prihodi!$B$4</c:f>
              <c:strCache>
                <c:ptCount val="1"/>
                <c:pt idx="0">
                  <c:v>Školarine izvanredni studij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prihodi!$C$4:$G$4</c:f>
              <c:numCache>
                <c:formatCode>#,##0</c:formatCode>
                <c:ptCount val="5"/>
                <c:pt idx="0">
                  <c:v>505103</c:v>
                </c:pt>
                <c:pt idx="1">
                  <c:v>477484</c:v>
                </c:pt>
                <c:pt idx="2">
                  <c:v>360440</c:v>
                </c:pt>
                <c:pt idx="3">
                  <c:v>364158</c:v>
                </c:pt>
                <c:pt idx="4">
                  <c:v>366384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A8-417A-BAA6-6E4423365F43}"/>
            </c:ext>
          </c:extLst>
        </c:ser>
        <c:ser>
          <c:idx val="2"/>
          <c:order val="2"/>
          <c:tx>
            <c:strRef>
              <c:f>prihodi!$B$5</c:f>
              <c:strCache>
                <c:ptCount val="1"/>
                <c:pt idx="0">
                  <c:v>Školarine razlikovni studij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prihodi!$C$5:$G$5</c:f>
              <c:numCache>
                <c:formatCode>#,##0</c:formatCode>
                <c:ptCount val="5"/>
                <c:pt idx="0">
                  <c:v>5298</c:v>
                </c:pt>
                <c:pt idx="1">
                  <c:v>3489</c:v>
                </c:pt>
                <c:pt idx="2">
                  <c:v>2510</c:v>
                </c:pt>
                <c:pt idx="3">
                  <c:v>1958</c:v>
                </c:pt>
                <c:pt idx="4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A8-417A-BAA6-6E4423365F43}"/>
            </c:ext>
          </c:extLst>
        </c:ser>
        <c:ser>
          <c:idx val="3"/>
          <c:order val="3"/>
          <c:tx>
            <c:strRef>
              <c:f>prihodi!$B$6</c:f>
              <c:strCache>
                <c:ptCount val="1"/>
                <c:pt idx="0">
                  <c:v>Školarine doktorski studij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prihodi!$C$6:$G$6</c:f>
              <c:numCache>
                <c:formatCode>#,##0</c:formatCode>
                <c:ptCount val="5"/>
                <c:pt idx="0">
                  <c:v>53155</c:v>
                </c:pt>
                <c:pt idx="1">
                  <c:v>61384</c:v>
                </c:pt>
                <c:pt idx="2">
                  <c:v>55462</c:v>
                </c:pt>
                <c:pt idx="3">
                  <c:v>63294</c:v>
                </c:pt>
                <c:pt idx="4">
                  <c:v>65258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FA8-417A-BAA6-6E4423365F43}"/>
            </c:ext>
          </c:extLst>
        </c:ser>
        <c:ser>
          <c:idx val="4"/>
          <c:order val="4"/>
          <c:tx>
            <c:strRef>
              <c:f>prihodi!$B$7</c:f>
              <c:strCache>
                <c:ptCount val="1"/>
                <c:pt idx="0">
                  <c:v>Upisnine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prihodi!$C$7:$G$7</c:f>
              <c:numCache>
                <c:formatCode>#,##0</c:formatCode>
                <c:ptCount val="5"/>
                <c:pt idx="0">
                  <c:v>24333</c:v>
                </c:pt>
                <c:pt idx="1">
                  <c:v>22196</c:v>
                </c:pt>
                <c:pt idx="2">
                  <c:v>20454</c:v>
                </c:pt>
                <c:pt idx="3">
                  <c:v>18885</c:v>
                </c:pt>
                <c:pt idx="4">
                  <c:v>20871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A8-417A-BAA6-6E4423365F43}"/>
            </c:ext>
          </c:extLst>
        </c:ser>
        <c:ser>
          <c:idx val="5"/>
          <c:order val="5"/>
          <c:tx>
            <c:strRef>
              <c:f>prihodi!$B$8</c:f>
              <c:strCache>
                <c:ptCount val="1"/>
                <c:pt idx="0">
                  <c:v>Razredbeni postupak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prihodi!$C$8:$G$8</c:f>
              <c:numCache>
                <c:formatCode>#,##0</c:formatCode>
                <c:ptCount val="5"/>
                <c:pt idx="0">
                  <c:v>290</c:v>
                </c:pt>
                <c:pt idx="1">
                  <c:v>299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FA8-417A-BAA6-6E4423365F43}"/>
            </c:ext>
          </c:extLst>
        </c:ser>
        <c:ser>
          <c:idx val="6"/>
          <c:order val="6"/>
          <c:tx>
            <c:strRef>
              <c:f>prihodi!$B$9</c:f>
              <c:strCache>
                <c:ptCount val="1"/>
                <c:pt idx="0">
                  <c:v>Diplome, uvjerenja i sl.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prihodi!$C$9:$G$9</c:f>
              <c:numCache>
                <c:formatCode>#,##0</c:formatCode>
                <c:ptCount val="5"/>
                <c:pt idx="0">
                  <c:v>16378</c:v>
                </c:pt>
                <c:pt idx="1">
                  <c:v>16077</c:v>
                </c:pt>
                <c:pt idx="2">
                  <c:v>1617</c:v>
                </c:pt>
                <c:pt idx="3">
                  <c:v>7008</c:v>
                </c:pt>
                <c:pt idx="4">
                  <c:v>6337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A8-417A-BAA6-6E4423365F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0779551"/>
        <c:axId val="424601855"/>
      </c:barChart>
      <c:lineChart>
        <c:grouping val="standard"/>
        <c:varyColors val="0"/>
        <c:ser>
          <c:idx val="7"/>
          <c:order val="7"/>
          <c:tx>
            <c:strRef>
              <c:f>prihodi!$B$10</c:f>
              <c:strCache>
                <c:ptCount val="1"/>
                <c:pt idx="0">
                  <c:v>PRIHODI OD ŠKOLARINA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prihodi!$C$2:$F$2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prihodi!$C$10:$G$10</c:f>
              <c:numCache>
                <c:formatCode>#,##0</c:formatCode>
                <c:ptCount val="5"/>
                <c:pt idx="0">
                  <c:v>852728</c:v>
                </c:pt>
                <c:pt idx="1">
                  <c:v>832055</c:v>
                </c:pt>
                <c:pt idx="2">
                  <c:v>664351</c:v>
                </c:pt>
                <c:pt idx="3">
                  <c:v>680469</c:v>
                </c:pt>
                <c:pt idx="4">
                  <c:v>691758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FA8-417A-BAA6-6E4423365F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0779551"/>
        <c:axId val="424601855"/>
      </c:lineChart>
      <c:catAx>
        <c:axId val="5207795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4601855"/>
        <c:crosses val="autoZero"/>
        <c:auto val="1"/>
        <c:lblAlgn val="ctr"/>
        <c:lblOffset val="100"/>
        <c:noMultiLvlLbl val="0"/>
      </c:catAx>
      <c:valAx>
        <c:axId val="424601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077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7867-AF9A-4F56-A7B3-D9F6ACD1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8</Pages>
  <Words>2557</Words>
  <Characters>14578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Vladimirka Telenta</cp:lastModifiedBy>
  <cp:revision>11</cp:revision>
  <cp:lastPrinted>2025-02-12T10:50:00Z</cp:lastPrinted>
  <dcterms:created xsi:type="dcterms:W3CDTF">2025-02-14T09:57:00Z</dcterms:created>
  <dcterms:modified xsi:type="dcterms:W3CDTF">2026-03-16T10:12:00Z</dcterms:modified>
</cp:coreProperties>
</file>